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rFonts w:ascii="Times New Roman" w:hAnsi="Times New Roman"/>
          <w:b w:val="0"/>
          <w:i w:val="0"/>
          <w:sz w:val="48"/>
        </w:rPr>
        <w:t>Adversarially Asymmetric Evidence for Calibrated Fake News Detection</w:t>
      </w:r>
    </w:p>
    <w:p>
      <w:pPr>
        <w:spacing w:before="0" w:after="40"/>
        <w:jc w:val="center"/>
      </w:pPr>
      <w:r>
        <w:rPr>
          <w:rFonts w:ascii="Times New Roman" w:hAnsi="Times New Roman"/>
          <w:b w:val="0"/>
          <w:i w:val="0"/>
          <w:sz w:val="22"/>
        </w:rPr>
        <w:t>Mugilan K S (23CSR138), Nandha Kumar S (23CSR140), Nandhini A (23CSR141)</w:t>
      </w:r>
    </w:p>
    <w:p>
      <w:pPr>
        <w:spacing w:before="0" w:after="40"/>
        <w:jc w:val="center"/>
      </w:pPr>
      <w:r>
        <w:rPr>
          <w:rFonts w:ascii="Times New Roman" w:hAnsi="Times New Roman"/>
          <w:b w:val="0"/>
          <w:i w:val="0"/>
          <w:sz w:val="22"/>
        </w:rPr>
        <w:t>Guide: Ms. M. Kannukkiniyal</w:t>
      </w:r>
    </w:p>
    <w:p>
      <w:pPr>
        <w:spacing w:before="0" w:after="40"/>
        <w:jc w:val="center"/>
      </w:pPr>
      <w:r>
        <w:rPr>
          <w:rFonts w:ascii="Times New Roman" w:hAnsi="Times New Roman"/>
          <w:b w:val="0"/>
          <w:i w:val="0"/>
          <w:sz w:val="22"/>
        </w:rPr>
        <w:t>Department of Computer Science and Engineering</w:t>
      </w:r>
    </w:p>
    <w:p>
      <w:pPr>
        <w:spacing w:before="0" w:after="40"/>
        <w:jc w:val="center"/>
      </w:pPr>
      <w:r>
        <w:rPr>
          <w:rFonts w:ascii="Times New Roman" w:hAnsi="Times New Roman"/>
          <w:b w:val="0"/>
          <w:i w:val="0"/>
          <w:sz w:val="22"/>
        </w:rPr>
        <w:t>Course: 22CSP72 — Project Work II</w:t>
      </w:r>
    </w:p>
    <w:p>
      <w:pPr>
        <w:sectPr>
          <w:pgSz w:w="12240" w:h="15840"/>
          <w:pgMar w:top="1077" w:right="992" w:bottom="992" w:left="992" w:header="720" w:footer="720" w:gutter="0"/>
          <w:cols w:space="238" w:num="1"/>
          <w:docGrid w:linePitch="360"/>
        </w:sectPr>
      </w:pPr>
    </w:p>
    <w:p>
      <w:pPr>
        <w:spacing w:after="120"/>
        <w:jc w:val="both"/>
      </w:pPr>
      <w:r>
        <w:rPr>
          <w:b/>
          <w:i/>
          <w:sz w:val="18"/>
        </w:rPr>
        <w:t>Abstract—</w:t>
      </w:r>
      <w:r>
        <w:rPr>
          <w:b/>
          <w:i/>
          <w:sz w:val="18"/>
        </w:rPr>
        <w:t>Automated fake-news detection scores how an article is written: its tone, its headline, whether it names sources. Every such signal is chosen by whoever wrote it, so a fabrication in newsroom register scores as a genuine report does. On a weighted-sum pipeline of this kind we measured invented articles at 7.3 of 10, four of six deceptive items reading as credible, and the failure was systematic: when corroboration was absent the verification term redistributed its weight onto the signals an author controls. We attribute this to treating adversarial detection as ordinary classification. Where features are selected by an adversary rather than drawn from nature, an asymmetry follows, stated here as an admissibility rule: an observation under the author's control may count against an article, never in its favour. We build a scoring model on that rule. Each observation contributes a likelihood ratio estimated from labelled articles rather than a hand-assigned weight, and the ratios accumulate as additive log-odds into a calibrated probability. Support is admitted only from outside the author's control: corroboration counted in independent sources rather than retrieved articles, and premises checked against a reference work. Input carrying no verifiable claim is declined rather than scored. On a held-out split of 120 articles the deployed model matches the rule it replaces on accuracy — 114 correct against 115 — ranks worse (AUC 0.951 against 0.978), and reduces calibration error where it accuses from 0.267 to 0.152. The trade is deliberate: the discrimination given up is supplied by evidence an adversary controls.</w:t>
      </w:r>
    </w:p>
    <w:p>
      <w:pPr>
        <w:spacing w:after="200"/>
        <w:jc w:val="both"/>
      </w:pPr>
      <w:r>
        <w:rPr>
          <w:b/>
          <w:i/>
          <w:sz w:val="18"/>
        </w:rPr>
        <w:t>Index Terms—</w:t>
      </w:r>
      <w:r>
        <w:rPr>
          <w:i/>
          <w:sz w:val="18"/>
        </w:rPr>
        <w:t>Adversarial evidence, fake news detection, likelihood ratio, probability calibration, selective prediction, source independence, weight of evidence.</w:t>
      </w:r>
    </w:p>
    <w:p>
      <w:pPr>
        <w:spacing w:before="200" w:after="80"/>
        <w:jc w:val="center"/>
      </w:pPr>
      <w:r>
        <w:rPr>
          <w:rFonts w:ascii="Times New Roman" w:hAnsi="Times New Roman"/>
          <w:b/>
          <w:i w:val="0"/>
          <w:sz w:val="22"/>
        </w:rPr>
        <w:t>1. INTRODUCTION</w:t>
      </w:r>
    </w:p>
    <w:p>
      <w:pPr>
        <w:spacing w:before="0" w:after="120"/>
        <w:jc w:val="both"/>
      </w:pPr>
      <w:r>
        <w:rPr>
          <w:rFonts w:ascii="Times New Roman" w:hAnsi="Times New Roman"/>
          <w:b w:val="0"/>
          <w:i w:val="0"/>
          <w:sz w:val="20"/>
        </w:rPr>
        <w:t>The volume of news reaching a reader now exceeds any individual's capacity to verify it. Automated assistance is therefore attractive, and a large body of work addresses it — but almost all of that work is framed as classification: given an article, output "fake" or "real".</w:t>
      </w:r>
    </w:p>
    <w:p>
      <w:pPr>
        <w:spacing w:before="0" w:after="120"/>
        <w:jc w:val="both"/>
      </w:pPr>
      <w:r>
        <w:rPr>
          <w:rFonts w:ascii="Times New Roman" w:hAnsi="Times New Roman"/>
          <w:b w:val="0"/>
          <w:i w:val="0"/>
          <w:sz w:val="20"/>
        </w:rPr>
        <w:t>Classification is the wrong output for this problem, for three reasons.</w:t>
      </w:r>
    </w:p>
    <w:p>
      <w:pPr>
        <w:spacing w:before="0" w:after="120"/>
        <w:jc w:val="both"/>
      </w:pPr>
      <w:r>
        <w:rPr>
          <w:rFonts w:ascii="Times New Roman" w:hAnsi="Times New Roman"/>
          <w:b w:val="0"/>
          <w:i w:val="0"/>
          <w:sz w:val="20"/>
        </w:rPr>
        <w:t>A label carries no reason. A reader told that an article is 87% likely to be fake learns nothing they can act on, check, or disagree with. The judgment is unfalsifiable from the reader's position, which is precisely the epistemic situation misinformation already puts them in.</w:t>
      </w:r>
    </w:p>
    <w:p>
      <w:pPr>
        <w:spacing w:before="0" w:after="120"/>
        <w:jc w:val="both"/>
      </w:pPr>
      <w:r>
        <w:rPr>
          <w:rFonts w:ascii="Times New Roman" w:hAnsi="Times New Roman"/>
          <w:b w:val="0"/>
          <w:i w:val="0"/>
          <w:sz w:val="20"/>
        </w:rPr>
        <w:t>A label hides which evidence it rests on. An article may be untrustworthy because its outlet has a poor record, because its headline oversells its content, because it leans on unattributable authority, or because other outlets report the facts differently. These are different problems requiring different reader responses, and a single score conflates them.</w:t>
      </w:r>
    </w:p>
    <w:p>
      <w:pPr>
        <w:spacing w:before="0" w:after="120"/>
        <w:jc w:val="both"/>
      </w:pPr>
      <w:r>
        <w:rPr>
          <w:rFonts w:ascii="Times New Roman" w:hAnsi="Times New Roman"/>
          <w:b w:val="0"/>
          <w:i w:val="0"/>
          <w:sz w:val="20"/>
        </w:rPr>
        <w:t>Confidence is usually dishonest. Guo et al. [6] showed that modern neural classifiers are systematically overconfident: a model reporting 90% confidence may be correct only 60% of the time. Calibration is rarely reported in misinformation systems, so a stated confidence generally cannot be interpreted as a probability.</w:t>
      </w:r>
    </w:p>
    <w:p>
      <w:pPr>
        <w:spacing w:before="0" w:after="120"/>
        <w:jc w:val="both"/>
      </w:pPr>
      <w:r>
        <w:rPr>
          <w:rFonts w:ascii="Times New Roman" w:hAnsi="Times New Roman"/>
          <w:b w:val="0"/>
          <w:i w:val="0"/>
          <w:sz w:val="20"/>
        </w:rPr>
        <w:t>We take an assessment view instead of a classification view, and separate two questions that a single score conflates. Whether a story holds up is answered by a verdict with its grounds; how well it is written is reported alongside, and never mixed into it. A well-written fabrication should read as exactly that — well written, and unsupported — rather than averaging to something reassuring.</w:t>
      </w:r>
    </w:p>
    <w:p>
      <w:pPr>
        <w:spacing w:before="160" w:after="60"/>
        <w:jc w:val="both"/>
      </w:pPr>
      <w:r>
        <w:rPr>
          <w:rFonts w:ascii="Times New Roman" w:hAnsi="Times New Roman"/>
          <w:b w:val="0"/>
          <w:i/>
          <w:sz w:val="20"/>
        </w:rPr>
        <w:t>1.1 Contributions</w:t>
      </w:r>
    </w:p>
    <w:p>
      <w:pPr>
        <w:spacing w:before="0" w:after="60"/>
        <w:ind w:left="200"/>
        <w:jc w:val="both"/>
      </w:pPr>
      <w:r>
        <w:rPr>
          <w:rFonts w:ascii="Times New Roman" w:hAnsi="Times New Roman"/>
          <w:b w:val="0"/>
          <w:i w:val="0"/>
          <w:sz w:val="20"/>
        </w:rPr>
        <w:t>•  An admissibility rule for adversarial evidence. Observations under the author's control are admitted only in the incriminating direction, at every stage of the computation including after calibration. Section 7.2 reports what the rule costs and why the cost is worth paying; Section 4.3 states it formally.</w:t>
      </w:r>
    </w:p>
    <w:p>
      <w:pPr>
        <w:spacing w:before="0" w:after="60"/>
        <w:ind w:left="200"/>
        <w:jc w:val="both"/>
      </w:pPr>
      <w:r>
        <w:rPr>
          <w:rFonts w:ascii="Times New Roman" w:hAnsi="Times New Roman"/>
          <w:b w:val="0"/>
          <w:i w:val="0"/>
          <w:sz w:val="20"/>
        </w:rPr>
        <w:t>•  Measured weights in place of assigned ones. Every likelihood ratio is estimated from labelled articles, shrunk to the conservative end of a 95% interval, and stored with the counts that produced it. A factor with too little data to estimate contributes exactly zero and is named as such in the report, rather than receiving an invented weight.</w:t>
      </w:r>
    </w:p>
    <w:p>
      <w:pPr>
        <w:spacing w:before="0" w:after="60"/>
        <w:ind w:left="200"/>
        <w:jc w:val="both"/>
      </w:pPr>
      <w:r>
        <w:rPr>
          <w:rFonts w:ascii="Times New Roman" w:hAnsi="Times New Roman"/>
          <w:b w:val="0"/>
          <w:i w:val="0"/>
          <w:sz w:val="20"/>
        </w:rPr>
        <w:t>•  Correlation-aware combination. The content checks correlate at a mean r = 0.55 and amount to 1.52 effective independent factors of four — the strongest pair, headline quality and language, at r = 0.93 — so their summed weight is scaled accordingly, where the previous design counted one piece of evidence four times.</w:t>
      </w:r>
    </w:p>
    <w:p>
      <w:pPr>
        <w:spacing w:before="0" w:after="60"/>
        <w:ind w:left="200"/>
        <w:jc w:val="both"/>
      </w:pPr>
      <w:r>
        <w:rPr>
          <w:rFonts w:ascii="Times New Roman" w:hAnsi="Times New Roman"/>
          <w:b w:val="0"/>
          <w:i w:val="0"/>
          <w:sz w:val="20"/>
        </w:rPr>
        <w:t>•  Independence-aware corroboration. Retrieved coverage is reduced to the sources it actually represents by a curated ownership model, agency-syndication detection and near-duplicate collapse, with every merge reported to the reader. A deterministic relevance gate additionally discards retrieved coverage sharing no anchor with the claim, after the model has spoken.</w:t>
      </w:r>
    </w:p>
    <w:p>
      <w:pPr>
        <w:spacing w:before="0" w:after="60"/>
        <w:ind w:left="200"/>
        <w:jc w:val="both"/>
      </w:pPr>
      <w:r>
        <w:rPr>
          <w:rFonts w:ascii="Times New Roman" w:hAnsi="Times New Roman"/>
          <w:b w:val="0"/>
          <w:i w:val="0"/>
          <w:sz w:val="20"/>
        </w:rPr>
        <w:t>•  Premise verification separate from event verification. A news index cannot adjudicate a claim resting on a false premise, because the invented event is reported nowhere; a reference work settles it in one lookup (Section 4.4).</w:t>
      </w:r>
    </w:p>
    <w:p>
      <w:pPr>
        <w:spacing w:before="0" w:after="60"/>
        <w:ind w:left="200"/>
        <w:jc w:val="both"/>
      </w:pPr>
      <w:r>
        <w:rPr>
          <w:rFonts w:ascii="Times New Roman" w:hAnsi="Times New Roman"/>
          <w:b w:val="0"/>
          <w:i w:val="0"/>
          <w:sz w:val="20"/>
        </w:rPr>
        <w:t>•  An input admissibility gate. Content carrying no verifiable claim receives no verdict, only a statement of what would make it checkable — a system that answers questions it cannot answer teaches readers to distrust the answers it gets right.</w:t>
      </w:r>
    </w:p>
    <w:p>
      <w:pPr>
        <w:spacing w:before="0" w:after="60"/>
        <w:ind w:left="200"/>
        <w:jc w:val="both"/>
      </w:pPr>
      <w:r>
        <w:rPr>
          <w:rFonts w:ascii="Times New Roman" w:hAnsi="Times New Roman"/>
          <w:b w:val="0"/>
          <w:i w:val="0"/>
          <w:sz w:val="20"/>
        </w:rPr>
        <w:t>•  A leakage-controlled held-out evaluation against the rule this replaces, with calibration reported separately for the accusing and exonerating directions, and an adversarial benchmark that ISOT cannot substitute for.</w:t>
      </w:r>
    </w:p>
    <w:p>
      <w:pPr>
        <w:spacing w:before="200" w:after="80"/>
        <w:jc w:val="center"/>
      </w:pPr>
      <w:r>
        <w:rPr>
          <w:rFonts w:ascii="Times New Roman" w:hAnsi="Times New Roman"/>
          <w:b/>
          <w:i w:val="0"/>
          <w:sz w:val="22"/>
        </w:rPr>
        <w:t>2. RELATED WORK</w:t>
      </w:r>
    </w:p>
    <w:p>
      <w:pPr>
        <w:spacing w:before="0" w:after="120"/>
        <w:jc w:val="both"/>
      </w:pPr>
      <w:r>
        <w:rPr>
          <w:rFonts w:ascii="Times New Roman" w:hAnsi="Times New Roman"/>
          <w:b w:val="0"/>
          <w:i w:val="0"/>
          <w:sz w:val="20"/>
        </w:rPr>
        <w:t>Explainable detection. Shu et al. [1] (dEFEND) generate explanations by jointly attending over article sentences and user comments, surfacing the comments most indicative of deception. The explanations are genuine, but the method requires a social-media comment stream, which does not exist for an article a reader has just been sent. Amri et al. [3] (ExFake) combine content with social context and external evidence; again the dependency is on signals that arrive after an article circulates. Our factors are computed from the article and from independent news retrieval only, so a report is available on first sight.</w:t>
      </w:r>
    </w:p>
    <w:p>
      <w:pPr>
        <w:spacing w:before="0" w:after="120"/>
        <w:jc w:val="both"/>
      </w:pPr>
      <w:r>
        <w:rPr>
          <w:rFonts w:ascii="Times New Roman" w:hAnsi="Times New Roman"/>
          <w:b w:val="0"/>
          <w:i w:val="0"/>
          <w:sz w:val="20"/>
        </w:rPr>
        <w:t>Classification on ISOT. Ahmed et al. [2] established the ISOT dataset and n-gram baselines. Reported accuracy on ISOT is routinely above 0.98, which reflects properties of the corpus more than the difficulty of the task. Verma [14] audits three leakage channels in it: a subject field whose values are disjoint across the two classes, on which a classifier reading no article text at all attains F1 = 1.000; a newswire agency tag present in 99.21% of real articles and 0.04% of fake ones; and exact duplicates spanning 19.37% of a naive test split. Removing all three costs only 1.21 F1 points, so a strong lexical signal survives — which is the deeper problem for our purposes, since that signal is exactly what an adversary writing carefully does not emit. We treat high ISOT accuracy as a methodological hazard rather than a result, control the channels we can (Section 6.2), and report the adversarial benchmark (Section 7.6) as the measurement ISOT cannot substitute for.</w:t>
      </w:r>
    </w:p>
    <w:p>
      <w:pPr>
        <w:spacing w:before="0" w:after="120"/>
        <w:jc w:val="both"/>
      </w:pPr>
      <w:r>
        <w:rPr>
          <w:rFonts w:ascii="Times New Roman" w:hAnsi="Times New Roman"/>
          <w:b w:val="0"/>
          <w:i w:val="0"/>
          <w:sz w:val="20"/>
        </w:rPr>
        <w:t>LLM-based verification. Wang et al. [4] use a large language model to weigh competing crowd reports about a claim. The approach is powerful but needs many reports per claim. Our verification uses the model in a deliberately narrow role — extract claims, judge stance over retrieved articles — which keeps the factual burden on retrieval rather than on the model.</w:t>
      </w:r>
    </w:p>
    <w:p>
      <w:pPr>
        <w:spacing w:before="0" w:after="120"/>
        <w:jc w:val="both"/>
      </w:pPr>
      <w:r>
        <w:rPr>
          <w:rFonts w:ascii="Times New Roman" w:hAnsi="Times New Roman"/>
          <w:b w:val="0"/>
          <w:i w:val="0"/>
          <w:sz w:val="20"/>
        </w:rPr>
        <w:t>Evidence retrieval. Thorne et al. [5] (FEVER) formalised claim verification against retrieved evidence, using Wikipedia as the corpus. Wikipedia is unsuitable for breaking news, which is the case that matters here; we retrieve from live news coverage by independent outlets instead, and accept that this yields unverified far more often — an outcome we report rather than hide.</w:t>
      </w:r>
    </w:p>
    <w:p>
      <w:pPr>
        <w:spacing w:before="0" w:after="120"/>
        <w:jc w:val="both"/>
      </w:pPr>
      <w:r>
        <w:rPr>
          <w:rFonts w:ascii="Times New Roman" w:hAnsi="Times New Roman"/>
          <w:b w:val="0"/>
          <w:i w:val="0"/>
          <w:sz w:val="20"/>
        </w:rPr>
        <w:t>Propaganda technique detection. Da San Martino et al. [7] defined SemEval-2020 Task 11, labelling persuasion techniques at span level across fourteen categories. To our knowledge the taxonomy has remained a research task; we adopt it as a reader-facing factor, naming the technique and quoting the span that exhibits it.</w:t>
      </w:r>
    </w:p>
    <w:p>
      <w:pPr>
        <w:spacing w:before="0" w:after="120"/>
        <w:jc w:val="both"/>
      </w:pPr>
      <w:r>
        <w:rPr>
          <w:rFonts w:ascii="Times New Roman" w:hAnsi="Times New Roman"/>
          <w:b w:val="0"/>
          <w:i w:val="0"/>
          <w:sz w:val="20"/>
        </w:rPr>
        <w:t>Calibration. Guo et al. [6] demonstrated systematic overconfidence in modern networks and evaluated remedies including Platt scaling [8]. We apply the technique to a trust score and report ECE before and after, which is uncommon in this application area.</w:t>
      </w:r>
    </w:p>
    <w:p>
      <w:pPr>
        <w:spacing w:before="0" w:after="120"/>
        <w:jc w:val="both"/>
      </w:pPr>
      <w:r>
        <w:rPr>
          <w:rFonts w:ascii="Times New Roman" w:hAnsi="Times New Roman"/>
          <w:b w:val="0"/>
          <w:i w:val="0"/>
          <w:sz w:val="20"/>
        </w:rPr>
        <w:t>Selective prediction. Declining to answer is not a concession but a recognised decision rule. Chow [11] characterised the Bayes-optimal reject region under an explicit cost of abstention; El-Yaniv and Wiener [12] formalised the risk–coverage trade-off it induces, and Geifman and El-Yaniv [13] carried the framework to deep networks. Misinformation systems rarely adopt it: the standard protocol forces a label on every item, so a system that would have abstained is scored as though it had guessed. Our verdict classes make abstention a first-class outcome with its own ceiling, and we report the rate at which it is used rather than treating it as a failure to classify.</w:t>
      </w:r>
    </w:p>
    <w:p>
      <w:pPr>
        <w:spacing w:before="0" w:after="120"/>
        <w:jc w:val="both"/>
      </w:pPr>
      <w:r>
        <w:rPr>
          <w:rFonts w:ascii="Times New Roman" w:hAnsi="Times New Roman"/>
          <w:b w:val="0"/>
          <w:i w:val="0"/>
          <w:sz w:val="20"/>
        </w:rPr>
        <w:t>Weight of evidence. The additive log-odds formulation is Good's [9]: a unit of evidence contributes the logarithm of a likelihood ratio, in decibans, and independent contributions add. We adopt it because the arithmetic is auditable line by line — each row of a report states what was observed and what it was worth — where a weighted sum states only a conclusion.</w:t>
      </w:r>
    </w:p>
    <w:p>
      <w:pPr>
        <w:spacing w:before="0" w:after="120"/>
        <w:jc w:val="both"/>
      </w:pPr>
      <w:r>
        <w:rPr>
          <w:rFonts w:ascii="Times New Roman" w:hAnsi="Times New Roman"/>
          <w:b w:val="0"/>
          <w:i w:val="0"/>
          <w:sz w:val="20"/>
        </w:rPr>
        <w:t>Position. Prior work is classification-centric and, with the exception of [1] and [3], does not surface evidence. None of the systems above specifies what they output when a component fails. Our contribution is assessment-centric: score, evidence, calibration, and defined behaviour under partial failure.</w:t>
      </w:r>
    </w:p>
    <w:p>
      <w:pPr>
        <w:spacing w:before="200" w:after="80"/>
        <w:jc w:val="center"/>
      </w:pPr>
      <w:r>
        <w:rPr>
          <w:rFonts w:ascii="Times New Roman" w:hAnsi="Times New Roman"/>
          <w:b/>
          <w:i w:val="0"/>
          <w:sz w:val="22"/>
        </w:rPr>
        <w:t>3. RESEARCH GAP</w:t>
      </w:r>
    </w:p>
    <w:p>
      <w:pPr>
        <w:spacing w:before="0" w:after="60"/>
        <w:ind w:left="200"/>
        <w:jc w:val="both"/>
      </w:pPr>
      <w:r>
        <w:rPr>
          <w:rFonts w:ascii="Times New Roman" w:hAnsi="Times New Roman"/>
          <w:b w:val="0"/>
          <w:i w:val="0"/>
          <w:sz w:val="20"/>
        </w:rPr>
        <w:t>•  Existing systems return a label rather than an explanation supported by evidence the reader can check.</w:t>
      </w:r>
    </w:p>
    <w:p>
      <w:pPr>
        <w:spacing w:before="0" w:after="60"/>
        <w:ind w:left="200"/>
        <w:jc w:val="both"/>
      </w:pPr>
      <w:r>
        <w:rPr>
          <w:rFonts w:ascii="Times New Roman" w:hAnsi="Times New Roman"/>
          <w:b w:val="0"/>
          <w:i w:val="0"/>
          <w:sz w:val="20"/>
        </w:rPr>
        <w:t>•  Few systems cross-check claims against independent news coverage; those that do rarely report how often no coverage is found.</w:t>
      </w:r>
    </w:p>
    <w:p>
      <w:pPr>
        <w:spacing w:before="0" w:after="60"/>
        <w:ind w:left="200"/>
        <w:jc w:val="both"/>
      </w:pPr>
      <w:r>
        <w:rPr>
          <w:rFonts w:ascii="Times New Roman" w:hAnsi="Times New Roman"/>
          <w:b w:val="0"/>
          <w:i w:val="0"/>
          <w:sz w:val="20"/>
        </w:rPr>
        <w:t>•  Calibration is almost never reported, so stated confidences are not interpretable as probabilities.</w:t>
      </w:r>
    </w:p>
    <w:p>
      <w:pPr>
        <w:spacing w:before="0" w:after="60"/>
        <w:ind w:left="200"/>
        <w:jc w:val="both"/>
      </w:pPr>
      <w:r>
        <w:rPr>
          <w:rFonts w:ascii="Times New Roman" w:hAnsi="Times New Roman"/>
          <w:b w:val="0"/>
          <w:i w:val="0"/>
          <w:sz w:val="20"/>
        </w:rPr>
        <w:t>•  Propaganda-technique detection exists as a benchmark task but has not been integrated into a system a non-specialist reader can use.</w:t>
      </w:r>
    </w:p>
    <w:p>
      <w:pPr>
        <w:spacing w:before="0" w:after="60"/>
        <w:ind w:left="200"/>
        <w:jc w:val="both"/>
      </w:pPr>
      <w:r>
        <w:rPr>
          <w:rFonts w:ascii="Times New Roman" w:hAnsi="Times New Roman"/>
          <w:b w:val="0"/>
          <w:i w:val="0"/>
          <w:sz w:val="20"/>
        </w:rPr>
        <w:t>•  No published system specifies its behaviour when a component fails. In practice the common implementation — emitting a neutral score — is indistinguishable at the interface from a completed check. We treat this as a correctness property, not an implementation detail.</w:t>
      </w:r>
    </w:p>
    <w:p>
      <w:pPr>
        <w:spacing w:before="0" w:after="60"/>
        <w:ind w:left="200"/>
        <w:jc w:val="both"/>
      </w:pPr>
      <w:r>
        <w:rPr>
          <w:rFonts w:ascii="Times New Roman" w:hAnsi="Times New Roman"/>
          <w:b w:val="0"/>
          <w:i w:val="0"/>
          <w:sz w:val="20"/>
        </w:rPr>
        <w:t>•  No single deployed platform combines source assessment, headline analysis, language analysis, source transparency, persuasion-technique detection, cross-source verification, and calibrated explainable scoring.</w:t>
      </w:r>
    </w:p>
    <w:p>
      <w:pPr>
        <w:spacing w:before="200" w:after="80"/>
        <w:jc w:val="center"/>
      </w:pPr>
      <w:r>
        <w:rPr>
          <w:rFonts w:ascii="Times New Roman" w:hAnsi="Times New Roman"/>
          <w:b/>
          <w:i w:val="0"/>
          <w:sz w:val="22"/>
        </w:rPr>
        <w:t>4. SYSTEM ARCHITECTURE</w:t>
      </w:r>
    </w:p>
    <w:p>
      <w:pPr>
        <w:spacing w:before="160" w:after="60"/>
        <w:jc w:val="both"/>
      </w:pPr>
      <w:r>
        <w:rPr>
          <w:rFonts w:ascii="Times New Roman" w:hAnsi="Times New Roman"/>
          <w:b w:val="0"/>
          <w:i/>
          <w:sz w:val="20"/>
        </w:rPr>
        <w:t>4.1 Overview</w:t>
      </w:r>
    </w:p>
    <w:p>
      <w:pPr>
        <w:spacing w:before="0" w:after="120"/>
        <w:jc w:val="both"/>
      </w:pPr>
      <w:r>
        <w:rPr>
          <w:rFonts w:ascii="Times New Roman" w:hAnsi="Times New Roman"/>
          <w:b w:val="0"/>
          <w:i w:val="0"/>
          <w:sz w:val="20"/>
        </w:rPr>
        <w:t>Input enters as a feed item, a URL, pasted text, a screenshot or a video link. A normalisation layer reduces each to the same object — text, a title-like claim, and a provenance record — reading a publisher's page, a video transcript, or the text inside an image as required. For a feed item the article reader fetches the publisher's page, because a news API supplies roughly 200 characters of body text, and accepts the result only if it passes a title-consistency check (Section 5.1).</w:t>
      </w:r>
    </w:p>
    <w:p>
      <w:pPr>
        <w:spacing w:before="0" w:after="120"/>
        <w:jc w:val="both"/>
      </w:pPr>
      <w:r>
        <w:rPr>
          <w:rFonts w:ascii="Times New Roman" w:hAnsi="Times New Roman"/>
          <w:b w:val="0"/>
          <w:i w:val="0"/>
          <w:sz w:val="20"/>
        </w:rPr>
        <w:t>An admissibility gate then runs before anything expensive. Content that asserts nothing a newsroom could confirm or deny receives no verdict at all, only a statement of what would make it checkable. This precedes the pipeline because a verdict on an unverifiable fragment is not a weak answer but a meaningless one.</w:t>
      </w:r>
    </w:p>
    <w:p>
      <w:pPr>
        <w:spacing w:after="0"/>
        <w:ind w:left="160"/>
        <w:jc w:val="left"/>
      </w:pPr>
      <w:r>
        <w:rPr>
          <w:rFonts w:ascii="Consolas" w:hAnsi="Consolas"/>
          <w:sz w:val="16"/>
        </w:rPr>
        <w:t xml:space="preserve">  article · link · pasted text · screenshot · video</w:t>
      </w:r>
    </w:p>
    <w:p>
      <w:pPr>
        <w:spacing w:after="0"/>
        <w:ind w:left="160"/>
        <w:jc w:val="left"/>
      </w:pPr>
      <w:r>
        <w:rPr>
          <w:rFonts w:ascii="Consolas" w:hAnsi="Consolas"/>
          <w:sz w:val="16"/>
        </w:rPr>
        <w:t xml:space="preserve">                       │</w:t>
      </w:r>
    </w:p>
    <w:p>
      <w:pPr>
        <w:spacing w:after="0"/>
        <w:ind w:left="160"/>
        <w:jc w:val="left"/>
      </w:pPr>
      <w:r>
        <w:rPr>
          <w:rFonts w:ascii="Consolas" w:hAnsi="Consolas"/>
          <w:sz w:val="16"/>
        </w:rPr>
        <w:t xml:space="preserve">                       ▼</w:t>
      </w:r>
    </w:p>
    <w:p>
      <w:pPr>
        <w:spacing w:after="0"/>
        <w:ind w:left="160"/>
        <w:jc w:val="left"/>
      </w:pPr>
      <w:r>
        <w:rPr>
          <w:rFonts w:ascii="Consolas" w:hAnsi="Consolas"/>
          <w:sz w:val="16"/>
        </w:rPr>
        <w:t xml:space="preserve">            ┌──────────────────────┐</w:t>
      </w:r>
    </w:p>
    <w:p>
      <w:pPr>
        <w:spacing w:after="0"/>
        <w:ind w:left="160"/>
        <w:jc w:val="left"/>
      </w:pPr>
      <w:r>
        <w:rPr>
          <w:rFonts w:ascii="Consolas" w:hAnsi="Consolas"/>
          <w:sz w:val="16"/>
        </w:rPr>
        <w:t xml:space="preserve">            │  Normalise + gate    │ ── declines unverifiable input</w:t>
      </w:r>
    </w:p>
    <w:p>
      <w:pPr>
        <w:spacing w:after="0"/>
        <w:ind w:left="160"/>
        <w:jc w:val="left"/>
      </w:pPr>
      <w:r>
        <w:rPr>
          <w:rFonts w:ascii="Consolas" w:hAnsi="Consolas"/>
          <w:sz w:val="16"/>
        </w:rPr>
        <w:t xml:space="preserve">            └──────────────────────┘</w:t>
      </w:r>
    </w:p>
    <w:p>
      <w:pPr>
        <w:spacing w:after="0"/>
        <w:ind w:left="160"/>
        <w:jc w:val="left"/>
      </w:pPr>
      <w:r>
        <w:rPr>
          <w:rFonts w:ascii="Consolas" w:hAnsi="Consolas"/>
          <w:sz w:val="16"/>
        </w:rPr>
        <w:t xml:space="preserve">                       │</w:t>
      </w:r>
    </w:p>
    <w:p>
      <w:pPr>
        <w:spacing w:after="0"/>
        <w:ind w:left="160"/>
        <w:jc w:val="left"/>
      </w:pPr>
      <w:r>
        <w:rPr>
          <w:rFonts w:ascii="Consolas" w:hAnsi="Consolas"/>
          <w:sz w:val="16"/>
        </w:rPr>
        <w:t xml:space="preserve">        ┌──────────────┴───────────────┐</w:t>
      </w:r>
    </w:p>
    <w:p>
      <w:pPr>
        <w:spacing w:after="0"/>
        <w:ind w:left="160"/>
        <w:jc w:val="left"/>
      </w:pPr>
      <w:r>
        <w:rPr>
          <w:rFonts w:ascii="Consolas" w:hAnsi="Consolas"/>
          <w:sz w:val="16"/>
        </w:rPr>
        <w:t xml:space="preserve">        ▼                              ▼</w:t>
      </w:r>
    </w:p>
    <w:p>
      <w:pPr>
        <w:spacing w:after="0"/>
        <w:ind w:left="160"/>
        <w:jc w:val="left"/>
      </w:pPr>
      <w:r>
        <w:rPr>
          <w:rFonts w:ascii="Consolas" w:hAnsi="Consolas"/>
          <w:sz w:val="16"/>
        </w:rPr>
        <w:t xml:space="preserve">  AUTHOR-CONTROLLED              INDEPENDENT OF THE AUTHOR</w:t>
      </w:r>
    </w:p>
    <w:p>
      <w:pPr>
        <w:spacing w:after="0"/>
        <w:ind w:left="160"/>
        <w:jc w:val="left"/>
      </w:pPr>
      <w:r>
        <w:rPr>
          <w:rFonts w:ascii="Consolas" w:hAnsi="Consolas"/>
          <w:sz w:val="16"/>
        </w:rPr>
        <w:t xml:space="preserve">  headline · language            provenance record</w:t>
      </w:r>
    </w:p>
    <w:p>
      <w:pPr>
        <w:spacing w:after="0"/>
        <w:ind w:left="160"/>
        <w:jc w:val="left"/>
      </w:pPr>
      <w:r>
        <w:rPr>
          <w:rFonts w:ascii="Consolas" w:hAnsi="Consolas"/>
          <w:sz w:val="16"/>
        </w:rPr>
        <w:t xml:space="preserve">  persuasion · attribution       corroboration (independent sources)</w:t>
      </w:r>
    </w:p>
    <w:p>
      <w:pPr>
        <w:spacing w:after="0"/>
        <w:ind w:left="160"/>
        <w:jc w:val="left"/>
      </w:pPr>
      <w:r>
        <w:rPr>
          <w:rFonts w:ascii="Consolas" w:hAnsi="Consolas"/>
          <w:sz w:val="16"/>
        </w:rPr>
        <w:t xml:space="preserve">        │                        premise check (reference work)</w:t>
      </w:r>
    </w:p>
    <w:p>
      <w:pPr>
        <w:spacing w:after="0"/>
        <w:ind w:left="160"/>
        <w:jc w:val="left"/>
      </w:pPr>
      <w:r>
        <w:rPr>
          <w:rFonts w:ascii="Consolas" w:hAnsi="Consolas"/>
          <w:sz w:val="16"/>
        </w:rPr>
        <w:t xml:space="preserve">        │                              │</w:t>
      </w:r>
    </w:p>
    <w:p>
      <w:pPr>
        <w:spacing w:after="0"/>
        <w:ind w:left="160"/>
        <w:jc w:val="left"/>
      </w:pPr>
      <w:r>
        <w:rPr>
          <w:rFonts w:ascii="Consolas" w:hAnsi="Consolas"/>
          <w:sz w:val="16"/>
        </w:rPr>
        <w:t xml:space="preserve">        ▼                              ▼</w:t>
      </w:r>
    </w:p>
    <w:p>
      <w:pPr>
        <w:spacing w:after="0"/>
        <w:ind w:left="160"/>
        <w:jc w:val="left"/>
      </w:pPr>
      <w:r>
        <w:rPr>
          <w:rFonts w:ascii="Consolas" w:hAnsi="Consolas"/>
          <w:sz w:val="16"/>
        </w:rPr>
        <w:t xml:space="preserve">  admitted one-sidedly           admitted in both directions</w:t>
      </w:r>
    </w:p>
    <w:p>
      <w:pPr>
        <w:spacing w:after="0"/>
        <w:ind w:left="160"/>
        <w:jc w:val="left"/>
      </w:pPr>
      <w:r>
        <w:rPr>
          <w:rFonts w:ascii="Consolas" w:hAnsi="Consolas"/>
          <w:sz w:val="16"/>
        </w:rPr>
        <w:t xml:space="preserve">        └──────────────┬───────────────┘</w:t>
      </w:r>
    </w:p>
    <w:p>
      <w:pPr>
        <w:spacing w:after="0"/>
        <w:ind w:left="160"/>
        <w:jc w:val="left"/>
      </w:pPr>
      <w:r>
        <w:rPr>
          <w:rFonts w:ascii="Consolas" w:hAnsi="Consolas"/>
          <w:sz w:val="16"/>
        </w:rPr>
        <w:t xml:space="preserve">                       ▼</w:t>
      </w:r>
    </w:p>
    <w:p>
      <w:pPr>
        <w:spacing w:after="0"/>
        <w:ind w:left="160"/>
        <w:jc w:val="left"/>
      </w:pPr>
      <w:r>
        <w:rPr>
          <w:rFonts w:ascii="Consolas" w:hAnsi="Consolas"/>
          <w:sz w:val="16"/>
        </w:rPr>
        <w:t xml:space="preserve">        ┌──────────────────────────────┐</w:t>
      </w:r>
    </w:p>
    <w:p>
      <w:pPr>
        <w:spacing w:after="0"/>
        <w:ind w:left="160"/>
        <w:jc w:val="left"/>
      </w:pPr>
      <w:r>
        <w:rPr>
          <w:rFonts w:ascii="Consolas" w:hAnsi="Consolas"/>
          <w:sz w:val="16"/>
        </w:rPr>
        <w:t xml:space="preserve">        │  Weight of evidence, in      │  measured likelihood ratios,</w:t>
      </w:r>
    </w:p>
    <w:p>
      <w:pPr>
        <w:spacing w:after="0"/>
        <w:ind w:left="160"/>
        <w:jc w:val="left"/>
      </w:pPr>
      <w:r>
        <w:rPr>
          <w:rFonts w:ascii="Consolas" w:hAnsi="Consolas"/>
          <w:sz w:val="16"/>
        </w:rPr>
        <w:t xml:space="preserve">        │  additive log-odds           │  correlation-damped, calibrated</w:t>
      </w:r>
    </w:p>
    <w:p>
      <w:pPr>
        <w:spacing w:after="0"/>
        <w:ind w:left="160"/>
        <w:jc w:val="left"/>
      </w:pPr>
      <w:r>
        <w:rPr>
          <w:rFonts w:ascii="Consolas" w:hAnsi="Consolas"/>
          <w:sz w:val="16"/>
        </w:rPr>
        <w:t xml:space="preserve">        └──────────────────────────────┘</w:t>
      </w:r>
    </w:p>
    <w:p>
      <w:pPr>
        <w:spacing w:after="0"/>
        <w:ind w:left="160"/>
        <w:jc w:val="left"/>
      </w:pPr>
      <w:r>
        <w:rPr>
          <w:rFonts w:ascii="Consolas" w:hAnsi="Consolas"/>
          <w:sz w:val="16"/>
        </w:rPr>
        <w:t xml:space="preserve">                       ▼</w:t>
      </w:r>
    </w:p>
    <w:p>
      <w:pPr>
        <w:spacing w:after="0"/>
        <w:ind w:left="160"/>
        <w:jc w:val="left"/>
      </w:pPr>
      <w:r>
        <w:rPr>
          <w:rFonts w:ascii="Consolas" w:hAnsi="Consolas"/>
          <w:sz w:val="16"/>
        </w:rPr>
        <w:t xml:space="preserve">     P(fake news)  ·  verdict + grounds  ·  writing quality, reported apart</w:t>
      </w:r>
    </w:p>
    <w:p>
      <w:pPr>
        <w:spacing w:before="0" w:after="80"/>
        <w:jc w:val="both"/>
      </w:pPr>
      <w:r>
        <w:rPr>
          <w:rFonts w:ascii="Times New Roman" w:hAnsi="Times New Roman"/>
          <w:b w:val="0"/>
          <w:i w:val="0"/>
          <w:sz w:val="8"/>
        </w:rPr>
        <w:t xml:space="preserve"> </w:t>
      </w:r>
    </w:p>
    <w:p>
      <w:pPr>
        <w:spacing w:before="0" w:after="120"/>
        <w:jc w:val="both"/>
      </w:pPr>
      <w:r>
        <w:rPr>
          <w:rFonts w:ascii="Times New Roman" w:hAnsi="Times New Roman"/>
          <w:b w:val="0"/>
          <w:i w:val="0"/>
          <w:sz w:val="20"/>
        </w:rPr>
        <w:t>The split down the middle is the architecture. Everything on the left is chosen by whoever wrote the text and is admitted only where it incriminates; everything on the right is outside that author's reach and is the only thing that may speak in the article's favour.</w:t>
      </w:r>
    </w:p>
    <w:p>
      <w:pPr>
        <w:spacing w:before="0" w:after="120"/>
        <w:jc w:val="both"/>
      </w:pPr>
      <w:r>
        <w:rPr>
          <w:rFonts w:ascii="Times New Roman" w:hAnsi="Times New Roman"/>
          <w:b w:val="0"/>
          <w:i w:val="0"/>
          <w:sz w:val="20"/>
        </w:rPr>
        <w:t>Beneath all of it sits an LLM gateway (Section 4.5) that abstracts provider and model, and a cache keyed by article URL.</w:t>
      </w:r>
    </w:p>
    <w:p>
      <w:pPr>
        <w:spacing w:before="160" w:after="60"/>
        <w:jc w:val="both"/>
      </w:pPr>
      <w:r>
        <w:rPr>
          <w:rFonts w:ascii="Times New Roman" w:hAnsi="Times New Roman"/>
          <w:b w:val="0"/>
          <w:i/>
          <w:sz w:val="20"/>
        </w:rPr>
        <w:t>4.2 The observations</w:t>
      </w:r>
    </w:p>
    <w:p>
      <w:pPr>
        <w:spacing w:before="0" w:after="120"/>
        <w:jc w:val="both"/>
      </w:pPr>
      <w:r>
        <w:rPr>
          <w:rFonts w:ascii="Times New Roman" w:hAnsi="Times New Roman"/>
          <w:b w:val="0"/>
          <w:i w:val="0"/>
          <w:sz w:val="20"/>
        </w:rPr>
        <w:t>No weight is attached to any observation in this section. Each is described by what it measures; what it is worth is estimated from labelled data (Section 4.3), and the estimates are in Appendix B. The earlier design assigned these weights by hand, and replacing that assignment with measurement is one of the contributions of this work.</w:t>
      </w:r>
    </w:p>
    <w:p>
      <w:pPr>
        <w:spacing w:before="0" w:after="120"/>
        <w:jc w:val="both"/>
      </w:pPr>
      <w:r>
        <w:rPr>
          <w:rFonts w:ascii="Times New Roman" w:hAnsi="Times New Roman"/>
          <w:b w:val="0"/>
          <w:i w:val="0"/>
          <w:sz w:val="20"/>
        </w:rPr>
        <w:t>[1] Source reputation. Identity is established from the page's web address, never from the name the page gives itself, since a site chooses its own name: a record is granted only on a domain the outlet publishes from, or a platform channel listed as its own. Ratings come first from a curated database of 90 outlets carrying factual-reporting rating, editorial lean and outlet type, and otherwise from the published domain-quality ratings of Lin et al. [16], which aggregate six professional rating sets over 11,520 news domains. The two agree closely where they overlap (81 outlets, Pearson r = 0.85, Spearman ρ = 0.77); a least-squares fit over that overlap converts the published 0–1 score to our 0–10 scale. The nine outlets the published set lacks are all Indian, which is why the curated list is consulted first. A page that claims a distinctive outlet's name from an address that outlet does not use receives no record and is treated as impersonation, which counts against it; so does a domain registered under 90 days ago, read from the public registration record (RDAP). Both are one-sided: an old domain can be bought, so age earns nothing in a site's favour.</w:t>
      </w:r>
    </w:p>
    <w:p>
      <w:pPr>
        <w:spacing w:before="0" w:after="120"/>
        <w:jc w:val="both"/>
      </w:pPr>
      <w:r>
        <w:rPr>
          <w:rFonts w:ascii="Times New Roman" w:hAnsi="Times New Roman"/>
          <w:b w:val="0"/>
          <w:i w:val="0"/>
          <w:sz w:val="20"/>
        </w:rPr>
        <w:t>[2] Headline quality. Structured scoring of clickbait signals — curiosity gap, sensational verbs, unsubstantiated superlatives, listicle framing — returning the specific signals present rather than a score alone.</w:t>
      </w:r>
    </w:p>
    <w:p>
      <w:pPr>
        <w:spacing w:before="0" w:after="120"/>
        <w:jc w:val="both"/>
      </w:pPr>
      <w:r>
        <w:rPr>
          <w:rFonts w:ascii="Times New Roman" w:hAnsi="Times New Roman"/>
          <w:b w:val="0"/>
          <w:i w:val="0"/>
          <w:sz w:val="20"/>
        </w:rPr>
        <w:t>[3] Language. Flags individual sentences exhibiting political bias, one-sided reporting, emotional manipulation, or opinion presented as fact. Each flagged sentence is returned verbatim with its type and a reason, and is displayed to the reader as a quotation.</w:t>
      </w:r>
    </w:p>
    <w:p>
      <w:pPr>
        <w:spacing w:before="0" w:after="120"/>
        <w:jc w:val="both"/>
      </w:pPr>
      <w:r>
        <w:rPr>
          <w:rFonts w:ascii="Times New Roman" w:hAnsi="Times New Roman"/>
          <w:b w:val="0"/>
          <w:i w:val="0"/>
          <w:sz w:val="20"/>
        </w:rPr>
        <w:t>[4] Source transparency. Answers a question the other content factors cannot: could a reader go and verify any of this? A five-point journalism checklist — names its sources (3), uses attributed quotes (2), points to primary evidence (2), gives concrete detail (2), claims are measured (1) — scored out of ten. The factor additionally returns unattributable appeals ("experts say", "sources close to the investigation") quoted exactly, with a penalty of 0.5 per distinct phrase capped at 2.0.</w:t>
      </w:r>
    </w:p>
    <w:p>
      <w:pPr>
        <w:spacing w:before="0" w:after="120"/>
        <w:jc w:val="both"/>
      </w:pPr>
      <w:r>
        <w:rPr>
          <w:rFonts w:ascii="Times New Roman" w:hAnsi="Times New Roman"/>
          <w:b w:val="0"/>
          <w:i w:val="0"/>
          <w:sz w:val="20"/>
        </w:rPr>
        <w:t>This factor is deliberately independent of external evidence, which makes it the one content factor that remains informative for an obscure story no other outlet has covered — precisely when cross-source verification abstains.</w:t>
      </w:r>
    </w:p>
    <w:p>
      <w:pPr>
        <w:spacing w:before="0" w:after="120"/>
        <w:jc w:val="both"/>
      </w:pPr>
      <w:r>
        <w:rPr>
          <w:rFonts w:ascii="Times New Roman" w:hAnsi="Times New Roman"/>
          <w:b w:val="0"/>
          <w:i w:val="0"/>
          <w:sz w:val="20"/>
        </w:rPr>
        <w:t>[5] Persuasion technique. Detects techniques from the SemEval-2020 Task 11 taxonomy [7], reduced to fourteen categories that occur in mainstream reporting and are recognisable to a non-specialist. Each detection must quote the span it applies to. At most three are reported, each costing 2.6 points from a base of 10.</w:t>
      </w:r>
    </w:p>
    <w:p>
      <w:pPr>
        <w:spacing w:before="0" w:after="120"/>
        <w:jc w:val="both"/>
      </w:pPr>
      <w:r>
        <w:rPr>
          <w:rFonts w:ascii="Times New Roman" w:hAnsi="Times New Roman"/>
          <w:b w:val="0"/>
          <w:i w:val="0"/>
          <w:sz w:val="20"/>
        </w:rPr>
        <w:t>[6] Cross-source verification. Claims are extracted from the article, then for each claim the system retrieves coverage from other outlets (the article's own source excluded) and judges stance over the retrieved items, citing the specific articles that support or contradict. Verdicts are supported, contradicted, unverified, or undetermined.</w:t>
      </w:r>
    </w:p>
    <w:p>
      <w:pPr>
        <w:spacing w:before="0" w:after="120"/>
        <w:jc w:val="both"/>
      </w:pPr>
      <w:r>
        <w:rPr>
          <w:rFonts w:ascii="Times New Roman" w:hAnsi="Times New Roman"/>
          <w:b w:val="0"/>
          <w:i w:val="0"/>
          <w:sz w:val="20"/>
        </w:rPr>
        <w:t>The fourth is not a refinement but a correction we were forced into. A retrieval that fails and a retrieval that returns nothing are represented identically by every HTTP client and, in our first implementation, by every layer above it: a rate-limited index, an unparseable stance judgement and a genuinely uncovered story all arrived as an empty evidence list. The system then reported "no other outlet is reporting this" — a statement about the world — on the strength of an outage. We observed exactly this on a wire report that five major outlets were carrying at the time, whose headlines the system had already retrieved. Each point at which a failure can be silently coerced into a finding is therefore made explicit: the retrieval, the stance judgement and the aggregate each distinguish did not run from ran and found nothing, and only the latter reaches the verdict rules. An item whose verification did not run is reported as unchecked, and the corroboration term contributes zero rather than the small positive weight that absence of coverage otherwise carries.</w:t>
      </w:r>
    </w:p>
    <w:p>
      <w:pPr>
        <w:spacing w:before="0" w:after="120"/>
        <w:jc w:val="both"/>
      </w:pPr>
      <w:r>
        <w:rPr>
          <w:rFonts w:ascii="Times New Roman" w:hAnsi="Times New Roman"/>
          <w:b w:val="0"/>
          <w:i w:val="0"/>
          <w:sz w:val="20"/>
        </w:rPr>
        <w:t>This is the same discipline the asymmetry argument rests on, applied to the system's own instruments. A detector that cannot distinguish its own blindness from the absence of a thing will, under load, manufacture the evidence it failed to collect — and it will do so in the accusing direction, because absence of corroboration is what it has been taught to treat as mildly incriminating.</w:t>
      </w:r>
    </w:p>
    <w:p>
      <w:pPr>
        <w:spacing w:before="160" w:after="60"/>
        <w:jc w:val="both"/>
      </w:pPr>
      <w:r>
        <w:rPr>
          <w:rFonts w:ascii="Times New Roman" w:hAnsi="Times New Roman"/>
          <w:b w:val="0"/>
          <w:i/>
          <w:sz w:val="20"/>
        </w:rPr>
        <w:t>4.3 Weighing the evidence</w:t>
      </w:r>
    </w:p>
    <w:p>
      <w:pPr>
        <w:spacing w:before="0" w:after="120"/>
        <w:jc w:val="both"/>
      </w:pPr>
      <w:r>
        <w:rPr>
          <w:rFonts w:ascii="Times New Roman" w:hAnsi="Times New Roman"/>
          <w:b w:val="0"/>
          <w:i w:val="0"/>
          <w:sz w:val="20"/>
        </w:rPr>
        <w:t>Let $O$ be the observations made about an item. Each contributes a likelihood ratio</w:t>
      </w:r>
    </w:p>
    <w:p>
      <w:pPr>
        <w:spacing w:before="0" w:after="120"/>
        <w:jc w:val="both"/>
      </w:pPr>
      <w:r>
        <w:rPr>
          <w:rFonts w:ascii="Times New Roman" w:hAnsi="Times New Roman"/>
          <w:b w:val="0"/>
          <w:i w:val="0"/>
          <w:sz w:val="20"/>
        </w:rPr>
        <w:t>$$\Lambda(o) \;=\; \frac{P(o \mid \text{fabricated})}{P(o \mid \text{genuine})}$$</w:t>
      </w:r>
    </w:p>
    <w:p>
      <w:pPr>
        <w:spacing w:before="0" w:after="120"/>
        <w:jc w:val="both"/>
      </w:pPr>
      <w:r>
        <w:rPr>
          <w:rFonts w:ascii="Times New Roman" w:hAnsi="Times New Roman"/>
          <w:b w:val="0"/>
          <w:i w:val="0"/>
          <w:sz w:val="20"/>
        </w:rPr>
        <w:t>estimated from labelled articles by binning the observation and counting, with a Jeffreys prior [15] and shrinkage to the conservative end of a 95% interval, so a bin supported by few articles contributes nothing. Ratios are reported in decibans, $W(o) = 10\log_{10}\Lambda(o)$, because decibans add: the posterior is a sum a reader can check by hand.</w:t>
      </w:r>
    </w:p>
    <w:p>
      <w:pPr>
        <w:spacing w:before="0" w:after="120"/>
        <w:jc w:val="both"/>
      </w:pPr>
      <w:r>
        <w:rPr>
          <w:rFonts w:ascii="Times New Roman" w:hAnsi="Times New Roman"/>
          <w:b w:val="0"/>
          <w:i w:val="0"/>
          <w:sz w:val="20"/>
        </w:rPr>
        <w:t>$$\text{logit}\,P(\text{fabricated}\mid O) \;=\; \text{logit}\,\pi \;+\; \sum_{o \in O} W(o)$$</w:t>
      </w:r>
    </w:p>
    <w:p>
      <w:pPr>
        <w:spacing w:before="0" w:after="120"/>
        <w:jc w:val="both"/>
      </w:pPr>
      <w:r>
        <w:rPr>
          <w:rFonts w:ascii="Times New Roman" w:hAnsi="Times New Roman"/>
          <w:b w:val="0"/>
          <w:i w:val="0"/>
          <w:sz w:val="20"/>
        </w:rPr>
        <w:t>where $\pi$ is a prior conditioned on provenance.</w:t>
      </w:r>
    </w:p>
    <w:p>
      <w:pPr>
        <w:spacing w:before="0" w:after="120"/>
        <w:jc w:val="both"/>
      </w:pPr>
      <w:r>
        <w:rPr>
          <w:rFonts w:ascii="Times New Roman" w:hAnsi="Times New Roman"/>
          <w:b w:val="0"/>
          <w:i w:val="0"/>
          <w:sz w:val="20"/>
        </w:rPr>
        <w:t>The admissibility rule. Partition $O$ into $O_A$, the observations selected by the author, and $O_I$, those outside the author's control. For $o \in O_A$ we admit</w:t>
      </w:r>
    </w:p>
    <w:p>
      <w:pPr>
        <w:spacing w:before="0" w:after="120"/>
        <w:jc w:val="both"/>
      </w:pPr>
      <w:r>
        <w:rPr>
          <w:rFonts w:ascii="Times New Roman" w:hAnsi="Times New Roman"/>
          <w:b w:val="0"/>
          <w:i w:val="0"/>
          <w:sz w:val="20"/>
        </w:rPr>
        <w:t>$$W^{\dagger}(o) \;=\; \max\bigl(0,\; W(o)\bigr).$$</w:t>
      </w:r>
    </w:p>
    <w:p>
      <w:pPr>
        <w:spacing w:before="0" w:after="120"/>
        <w:jc w:val="both"/>
      </w:pPr>
      <w:r>
        <w:rPr>
          <w:rFonts w:ascii="Times New Roman" w:hAnsi="Times New Roman"/>
          <w:b w:val="0"/>
          <w:i w:val="0"/>
          <w:sz w:val="20"/>
        </w:rPr>
        <w:t>The justification is adversarial rather than statistical. A capable author drives $P(o = \text{favourable} \mid \text{fabricated})$ toward $P(o = \text{favourable} \mid \text{genuine})$, so the exculpatory ratio tends to 1 whatever an estimation corpus reports. A corpus of crude fabrications will measure $\Lambda &lt; 1$ for fluent prose and be correct about that corpus and wrong about any competent adversary; the clamp declines to learn it. Three consequences follow directly rather than as special cases: an uninformative observation has $\Lambda = 1$ and contributes exactly zero, so abstention is arithmetic rather than a code path; an unmeasured observation likewise contributes zero and is named in the report; and presentation cannot establish credibility at any value.</w:t>
      </w:r>
    </w:p>
    <w:p>
      <w:pPr>
        <w:spacing w:before="0" w:after="120"/>
        <w:jc w:val="both"/>
      </w:pPr>
      <w:r>
        <w:rPr>
          <w:rFonts w:ascii="Times New Roman" w:hAnsi="Times New Roman"/>
          <w:b w:val="0"/>
          <w:i w:val="0"/>
          <w:sz w:val="20"/>
        </w:rPr>
        <w:t>Correlation damping. Members of $O_A$ measure overlapping properties of the same prose and are not conditionally independent. Under equicorrelation $\bar r$ the effective count of independent factors among $k$ is $k / (1 + (k-1)\bar r)$, and the family's summed weight is scaled by $n_\text{eff}/k$. Measured on the clean corpus, $\bar r = 0.55$ over four checks gives $n_\text{eff} = 1.52$, a damping factor of 0.379. The strongest pair, headline quality and language, correlates at $r = 0.93$: on this corpus they are very nearly one observation reported twice.</w:t>
      </w:r>
    </w:p>
    <w:p>
      <w:pPr>
        <w:spacing w:before="0" w:after="120"/>
        <w:jc w:val="both"/>
      </w:pPr>
      <w:r>
        <w:rPr>
          <w:rFonts w:ascii="Times New Roman" w:hAnsi="Times New Roman"/>
          <w:b w:val="0"/>
          <w:i w:val="0"/>
          <w:sz w:val="20"/>
        </w:rPr>
        <w:t>Calibration. The clamp discards exculpatory evidence and leaves genuine articles massed at the prior, which makes the raw posterior systematically under-confident. An isotonic map [10] fitted on held-out data corrects the ranking-to-probability step; isotonic regression is preferred to the sigmoid of Platt scaling [8] here because the clamp makes the score-to-probability relation monotone but not sigmoidal, and Section 7.1 measures both; the corpus base rate is divided out in log-odds space before the article's own prior is applied, so the map transports between populations rather than importing the corpus composition. The clamp is re-applied after calibration, because a monotone map fitted where fluent prose does predict a genuine article will otherwise restore precisely the exculpatory weight the rule removes.</w:t>
      </w:r>
    </w:p>
    <w:p>
      <w:pPr>
        <w:spacing w:before="0" w:after="120"/>
        <w:jc w:val="both"/>
      </w:pPr>
      <w:r>
        <w:rPr>
          <w:rFonts w:ascii="Times New Roman" w:hAnsi="Times New Roman"/>
          <w:b w:val="0"/>
          <w:i w:val="0"/>
          <w:sz w:val="20"/>
        </w:rPr>
        <w:t>Verdict. Separately from the probability, an ordered rule set assigns one of seven classes from the evidence ledger and states the rule that fired. The probability expresses graded belief; the verdict states what has been established, and the two come apart exactly where it matters — an uncorroborated story may carry a low probability of fabrication merely because most articles are genuine, while nothing whatever about it has been established.</w:t>
      </w:r>
    </w:p>
    <w:p>
      <w:pPr>
        <w:spacing w:before="160" w:after="60"/>
        <w:jc w:val="both"/>
      </w:pPr>
      <w:r>
        <w:rPr>
          <w:rFonts w:ascii="Times New Roman" w:hAnsi="Times New Roman"/>
          <w:b w:val="0"/>
          <w:i/>
          <w:sz w:val="20"/>
        </w:rPr>
        <w:t>4.4 Premise verification</w:t>
      </w:r>
    </w:p>
    <w:p>
      <w:pPr>
        <w:spacing w:before="0" w:after="120"/>
        <w:jc w:val="both"/>
      </w:pPr>
      <w:r>
        <w:rPr>
          <w:rFonts w:ascii="Times New Roman" w:hAnsi="Times New Roman"/>
          <w:b w:val="0"/>
          <w:i w:val="0"/>
          <w:sz w:val="20"/>
        </w:rPr>
        <w:t>Cross-source verification asks whether other newsrooms report the same event, and has a structural blind spot: a claim resting on a false premise describes an event nobody reports, so the search correctly returns nothing and the finding that matters — that the premise is false — is missed. Named subjects are therefore resolved against a reference work and the article's statements about them tested for direct conflict. A contradiction must quote the reference text, and a quotation not found in the retrieved entry is discarded.</w:t>
      </w:r>
    </w:p>
    <w:p>
      <w:pPr>
        <w:spacing w:before="0" w:after="120"/>
        <w:jc w:val="both"/>
      </w:pPr>
      <w:r>
        <w:rPr>
          <w:rFonts w:ascii="Times New Roman" w:hAnsi="Times New Roman"/>
          <w:b w:val="0"/>
          <w:i w:val="0"/>
          <w:sz w:val="20"/>
        </w:rPr>
        <w:t>The two channels are not merged. A reference work is not an independent newsroom reporting an event; it is a record of stable facts, and it is admitted only where it is strong — refuting a premise, never corroborating an event.</w:t>
      </w:r>
    </w:p>
    <w:p>
      <w:pPr>
        <w:spacing w:before="160" w:after="60"/>
        <w:jc w:val="both"/>
      </w:pPr>
      <w:r>
        <w:rPr>
          <w:rFonts w:ascii="Times New Roman" w:hAnsi="Times New Roman"/>
          <w:b w:val="0"/>
          <w:i/>
          <w:sz w:val="20"/>
        </w:rPr>
        <w:t>4.5 Provider-independent model access</w:t>
      </w:r>
    </w:p>
    <w:p>
      <w:pPr>
        <w:spacing w:before="0" w:after="120"/>
        <w:jc w:val="both"/>
      </w:pPr>
      <w:r>
        <w:rPr>
          <w:rFonts w:ascii="Times New Roman" w:hAnsi="Times New Roman"/>
          <w:b w:val="0"/>
          <w:i w:val="0"/>
          <w:sz w:val="20"/>
        </w:rPr>
        <w:t>All factors reach the language model through a single gateway that owns concurrency limiting, retry policy, and structured-output parsing. Provider and model are configuration, and the gateway distinguishes three failure classes:</w:t>
      </w:r>
    </w:p>
    <w:p>
      <w:pPr>
        <w:spacing w:before="0" w:after="60"/>
        <w:ind w:left="200"/>
        <w:jc w:val="both"/>
      </w:pPr>
      <w:r>
        <w:rPr>
          <w:rFonts w:ascii="Times New Roman" w:hAnsi="Times New Roman"/>
          <w:b w:val="0"/>
          <w:i w:val="0"/>
          <w:sz w:val="20"/>
        </w:rPr>
        <w:t>•  Withdrawn model (HTTP 404/410) — adopt the next model permanently.</w:t>
      </w:r>
    </w:p>
    <w:p>
      <w:pPr>
        <w:spacing w:before="0" w:after="60"/>
        <w:ind w:left="200"/>
        <w:jc w:val="both"/>
      </w:pPr>
      <w:r>
        <w:rPr>
          <w:rFonts w:ascii="Times New Roman" w:hAnsi="Times New Roman"/>
          <w:b w:val="0"/>
          <w:i w:val="0"/>
          <w:sz w:val="20"/>
        </w:rPr>
        <w:t>•  Congestion (HTTP 429/503) — retry the same model with exponential backoff, honouring Retry-After, without demoting a healthy primary.</w:t>
      </w:r>
    </w:p>
    <w:p>
      <w:pPr>
        <w:spacing w:before="0" w:after="60"/>
        <w:ind w:left="200"/>
        <w:jc w:val="both"/>
      </w:pPr>
      <w:r>
        <w:rPr>
          <w:rFonts w:ascii="Times New Roman" w:hAnsi="Times New Roman"/>
          <w:b w:val="0"/>
          <w:i w:val="0"/>
          <w:sz w:val="20"/>
        </w:rPr>
        <w:t>•  Exhausted provider — fall through to the next configured provider.</w:t>
      </w:r>
    </w:p>
    <w:p>
      <w:pPr>
        <w:spacing w:before="0" w:after="120"/>
        <w:jc w:val="both"/>
      </w:pPr>
      <w:r>
        <w:rPr>
          <w:rFonts w:ascii="Times New Roman" w:hAnsi="Times New Roman"/>
          <w:b w:val="0"/>
          <w:i w:val="0"/>
          <w:sz w:val="20"/>
        </w:rPr>
        <w:t>Both events occurred during development. The model used for the Phase I benchmark was withdrawn mid-project, and every analysis began failing with HTTP 410; separately, the primary provider became congested enough that identical requests were observed at 2 s and at 62 s. The gateway is a direct response to both.</w:t>
      </w:r>
    </w:p>
    <w:p>
      <w:pPr>
        <w:spacing w:before="160" w:after="60"/>
        <w:jc w:val="both"/>
      </w:pPr>
      <w:r>
        <w:rPr>
          <w:rFonts w:ascii="Times New Roman" w:hAnsi="Times New Roman"/>
          <w:b w:val="0"/>
          <w:i/>
          <w:sz w:val="20"/>
        </w:rPr>
        <w:t>4.6 Degradation</w:t>
      </w:r>
    </w:p>
    <w:p>
      <w:pPr>
        <w:spacing w:before="0" w:after="120"/>
        <w:jc w:val="both"/>
      </w:pPr>
      <w:r>
        <w:rPr>
          <w:rFonts w:ascii="Times New Roman" w:hAnsi="Times New Roman"/>
          <w:b w:val="0"/>
          <w:i w:val="0"/>
          <w:sz w:val="20"/>
        </w:rPr>
        <w:t>If no provider answers, each content factor falls back to a deterministic analyser using lexicons and surface patterns — the methods by which these tasks were measured before neural models, and the reason lexicon baselines accompany the SemEval propaganda task. Degraded results are marked as such in the report, at both the summary and per-factor level, so a weaker analysis is never presented as a full one. Section 7.5 reports its discriminative power.</w:t>
      </w:r>
    </w:p>
    <w:p>
      <w:pPr>
        <w:spacing w:before="200" w:after="80"/>
        <w:jc w:val="center"/>
      </w:pPr>
      <w:r>
        <w:rPr>
          <w:rFonts w:ascii="Times New Roman" w:hAnsi="Times New Roman"/>
          <w:b/>
          <w:i w:val="0"/>
          <w:sz w:val="22"/>
        </w:rPr>
        <w:t>5. IMPLEMENTATION</w:t>
      </w:r>
    </w:p>
    <w:p>
      <w:pPr>
        <w:spacing w:before="0" w:after="120"/>
        <w:jc w:val="both"/>
      </w:pPr>
      <w:r>
        <w:rPr>
          <w:rFonts w:ascii="Times New Roman" w:hAnsi="Times New Roman"/>
          <w:b w:val="0"/>
          <w:i w:val="0"/>
          <w:sz w:val="20"/>
        </w:rPr>
        <w:t>Backend: Node.js and Express with MongoDB. Frontend: React. News retrieval: NewsAPI. Language model: NVIDIA NIM or Google Gemini, selected by configuration.</w:t>
      </w:r>
    </w:p>
    <w:p>
      <w:pPr>
        <w:spacing w:before="160" w:after="60"/>
        <w:jc w:val="both"/>
      </w:pPr>
      <w:r>
        <w:rPr>
          <w:rFonts w:ascii="Times New Roman" w:hAnsi="Times New Roman"/>
          <w:b w:val="0"/>
          <w:i/>
          <w:sz w:val="20"/>
        </w:rPr>
        <w:t>5.1 Article acquisition and verification</w:t>
      </w:r>
    </w:p>
    <w:p>
      <w:pPr>
        <w:spacing w:before="0" w:after="120"/>
        <w:jc w:val="both"/>
      </w:pPr>
      <w:r>
        <w:rPr>
          <w:rFonts w:ascii="Times New Roman" w:hAnsi="Times New Roman"/>
          <w:b w:val="0"/>
          <w:i w:val="0"/>
          <w:sz w:val="20"/>
        </w:rPr>
        <w:t>A news API returns roughly 200 characters of body text with a truncation marker. Fetching the publisher's page instead yields 2,000–6,000 characters at a cost of 1–3 seconds and no model call.</w:t>
      </w:r>
    </w:p>
    <w:p>
      <w:pPr>
        <w:spacing w:before="0" w:after="120"/>
        <w:jc w:val="both"/>
      </w:pPr>
      <w:r>
        <w:rPr>
          <w:rFonts w:ascii="Times New Roman" w:hAnsi="Times New Roman"/>
          <w:b w:val="0"/>
          <w:i w:val="0"/>
          <w:sz w:val="20"/>
        </w:rPr>
        <w:t>Page extraction is not reliable enough to trust unconditionally. In testing, an Associated Press article returned the page's navigation and newsletter promotions rather than the story, and the resulting summary confidently described an unrelated trade dispute. Extracted text is therefore accepted only if at least half of the headline's distinctive terms appear in it; otherwise the feed snippet is used. Across a ten-article sample, extraction was accepted for seven.</w:t>
      </w:r>
    </w:p>
    <w:p>
      <w:pPr>
        <w:spacing w:before="0" w:after="120"/>
        <w:jc w:val="both"/>
      </w:pPr>
      <w:r>
        <w:rPr>
          <w:rFonts w:ascii="Times New Roman" w:hAnsi="Times New Roman"/>
          <w:b w:val="0"/>
          <w:i w:val="0"/>
          <w:sz w:val="20"/>
        </w:rPr>
        <w:t>Text supplied to the model is bounded (Section 7.4).</w:t>
      </w:r>
    </w:p>
    <w:p>
      <w:pPr>
        <w:spacing w:before="160" w:after="60"/>
        <w:jc w:val="both"/>
      </w:pPr>
      <w:r>
        <w:rPr>
          <w:rFonts w:ascii="Times New Roman" w:hAnsi="Times New Roman"/>
          <w:b w:val="0"/>
          <w:i/>
          <w:sz w:val="20"/>
        </w:rPr>
        <w:t>5.2 Source matching</w:t>
      </w:r>
    </w:p>
    <w:p>
      <w:pPr>
        <w:spacing w:before="0" w:after="120"/>
        <w:jc w:val="both"/>
      </w:pPr>
      <w:r>
        <w:rPr>
          <w:rFonts w:ascii="Times New Roman" w:hAnsi="Times New Roman"/>
          <w:b w:val="0"/>
          <w:i w:val="0"/>
          <w:sz w:val="20"/>
        </w:rPr>
        <w:t>Outlet matching was initially substring-based, which matched "Yahoo Entertainment" against the entry for "RT". Matching now tokenises both sides and requires an exact or whole-word prefix match, in two passes.</w:t>
      </w:r>
    </w:p>
    <w:p>
      <w:pPr>
        <w:spacing w:before="160" w:after="60"/>
        <w:jc w:val="both"/>
      </w:pPr>
      <w:r>
        <w:rPr>
          <w:rFonts w:ascii="Times New Roman" w:hAnsi="Times New Roman"/>
          <w:b w:val="0"/>
          <w:i/>
          <w:sz w:val="20"/>
        </w:rPr>
        <w:t>5.3 Structured output handling</w:t>
      </w:r>
    </w:p>
    <w:p>
      <w:pPr>
        <w:spacing w:before="0" w:after="120"/>
        <w:jc w:val="both"/>
      </w:pPr>
      <w:r>
        <w:rPr>
          <w:rFonts w:ascii="Times New Roman" w:hAnsi="Times New Roman"/>
          <w:b w:val="0"/>
          <w:i w:val="0"/>
          <w:sz w:val="20"/>
        </w:rPr>
        <w:t>Factors require JSON. Three failure modes were observed and are handled in the gateway: fenced or prose-wrapped output; malformed values (unquoted strings, trailing commas); and truncation. For truncation the parser recovers the elements that completed rather than discarding the reply. A separate defect — the news API's [+8026 chars] marker being echoed by the model and captured as the start of a JSON array — is prevented by stripping the marker before any prompt is built.</w:t>
      </w:r>
    </w:p>
    <w:p>
      <w:pPr>
        <w:spacing w:before="160" w:after="60"/>
        <w:jc w:val="both"/>
      </w:pPr>
      <w:r>
        <w:rPr>
          <w:rFonts w:ascii="Times New Roman" w:hAnsi="Times New Roman"/>
          <w:b w:val="0"/>
          <w:i/>
          <w:sz w:val="20"/>
        </w:rPr>
        <w:t>5.4 Caching and pre-warming</w:t>
      </w:r>
    </w:p>
    <w:p>
      <w:pPr>
        <w:spacing w:before="0" w:after="120"/>
        <w:jc w:val="both"/>
      </w:pPr>
      <w:r>
        <w:rPr>
          <w:rFonts w:ascii="Times New Roman" w:hAnsi="Times New Roman"/>
          <w:b w:val="0"/>
          <w:i w:val="0"/>
          <w:sz w:val="20"/>
        </w:rPr>
        <w:t>Trust reports and summaries are cached by article URL with a 14-day expiry. Reports carry a schema version; a cached report from an earlier pipeline is re-analysed rather than served, so a pipeline change cannot leave a reader viewing an outdated breakdown. A pre-warm script analyses a category in advance.</w:t>
      </w:r>
    </w:p>
    <w:p>
      <w:pPr>
        <w:spacing w:before="200" w:after="80"/>
        <w:jc w:val="center"/>
      </w:pPr>
      <w:r>
        <w:rPr>
          <w:rFonts w:ascii="Times New Roman" w:hAnsi="Times New Roman"/>
          <w:b/>
          <w:i w:val="0"/>
          <w:sz w:val="22"/>
        </w:rPr>
        <w:t>6. EVALUATION METHODOLOGY</w:t>
      </w:r>
    </w:p>
    <w:p>
      <w:pPr>
        <w:spacing w:before="160" w:after="60"/>
        <w:jc w:val="both"/>
      </w:pPr>
      <w:r>
        <w:rPr>
          <w:rFonts w:ascii="Times New Roman" w:hAnsi="Times New Roman"/>
          <w:b w:val="0"/>
          <w:i/>
          <w:sz w:val="20"/>
        </w:rPr>
        <w:t>6.1 Dataset</w:t>
      </w:r>
    </w:p>
    <w:p>
      <w:pPr>
        <w:spacing w:before="0" w:after="120"/>
        <w:jc w:val="both"/>
      </w:pPr>
      <w:r>
        <w:rPr>
          <w:rFonts w:ascii="Times New Roman" w:hAnsi="Times New Roman"/>
          <w:b w:val="0"/>
          <w:i w:val="0"/>
          <w:sz w:val="20"/>
        </w:rPr>
        <w:t>ISOT [2]: 43,294 usable articles after length filtering (21,915 fake, 21,379 real). Stratified seeded sampling; the identical article set is used across all configurations.</w:t>
      </w:r>
    </w:p>
    <w:p>
      <w:pPr>
        <w:spacing w:before="160" w:after="60"/>
        <w:jc w:val="both"/>
      </w:pPr>
      <w:r>
        <w:rPr>
          <w:rFonts w:ascii="Times New Roman" w:hAnsi="Times New Roman"/>
          <w:b w:val="0"/>
          <w:i/>
          <w:sz w:val="20"/>
        </w:rPr>
        <w:t>6.2 Leakage control</w:t>
      </w:r>
    </w:p>
    <w:p>
      <w:pPr>
        <w:spacing w:before="0" w:after="120"/>
        <w:jc w:val="both"/>
      </w:pPr>
      <w:r>
        <w:rPr>
          <w:rFonts w:ascii="Times New Roman" w:hAnsi="Times New Roman"/>
          <w:b w:val="0"/>
          <w:i w:val="0"/>
          <w:sz w:val="20"/>
        </w:rPr>
        <w:t>ISOT's real articles originate from Reuters, so outlet identity alone predicts the label. Two controls are applied: source identity is hidden from the pipeline during evaluation, and agency prefixes of the form CITY (Reuters) – are stripped from article text. Reported figures are therefore content-based.</w:t>
      </w:r>
    </w:p>
    <w:p>
      <w:pPr>
        <w:spacing w:before="0" w:after="120"/>
        <w:jc w:val="both"/>
      </w:pPr>
      <w:r>
        <w:rPr>
          <w:rFonts w:ascii="Times New Roman" w:hAnsi="Times New Roman"/>
          <w:b w:val="0"/>
          <w:i w:val="0"/>
          <w:sz w:val="20"/>
        </w:rPr>
        <w:t>Cross-source verification is disabled for dataset runs, since historical articles have no live coverage; the production path in that situation — a corroboration outcome of none — is identical.</w:t>
      </w:r>
    </w:p>
    <w:p>
      <w:pPr>
        <w:spacing w:before="160" w:after="60"/>
        <w:jc w:val="both"/>
      </w:pPr>
      <w:r>
        <w:rPr>
          <w:rFonts w:ascii="Times New Roman" w:hAnsi="Times New Roman"/>
          <w:b w:val="0"/>
          <w:i/>
          <w:sz w:val="20"/>
        </w:rPr>
        <w:t>6.3 Protocol and metrics</w:t>
      </w:r>
    </w:p>
    <w:p>
      <w:pPr>
        <w:spacing w:before="0" w:after="120"/>
        <w:jc w:val="both"/>
      </w:pPr>
      <w:r>
        <w:rPr>
          <w:rFonts w:ascii="Times New Roman" w:hAnsi="Times New Roman"/>
          <w:b w:val="0"/>
          <w:i w:val="0"/>
          <w:sz w:val="20"/>
        </w:rPr>
        <w:t>Threshold and Platt parameters are fitted on a validation half; all reported metrics come from the held-out test half. Metrics: accuracy, macro-F1, ROC-AUC, and 10-bin expected calibration error. The baseline is a single holistic credibility prompt using the same model, representing the LLM-black-box approach.</w:t>
      </w:r>
    </w:p>
    <w:p>
      <w:pPr>
        <w:spacing w:before="0" w:after="120"/>
        <w:jc w:val="both"/>
      </w:pPr>
      <w:r>
        <w:rPr>
          <w:rFonts w:ascii="Times New Roman" w:hAnsi="Times New Roman"/>
          <w:b w:val="0"/>
          <w:i w:val="0"/>
          <w:sz w:val="20"/>
        </w:rPr>
        <w:t>Transient API failures abort and retry the affected article rather than recording a neutral fallback, so that infrastructure noise cannot enter the results.</w:t>
      </w:r>
    </w:p>
    <w:p>
      <w:pPr>
        <w:spacing w:before="200" w:after="80"/>
        <w:jc w:val="center"/>
      </w:pPr>
      <w:r>
        <w:rPr>
          <w:rFonts w:ascii="Times New Roman" w:hAnsi="Times New Roman"/>
          <w:b/>
          <w:i w:val="0"/>
          <w:sz w:val="22"/>
        </w:rPr>
        <w:t>7. RESULTS</w:t>
      </w:r>
    </w:p>
    <w:p>
      <w:pPr>
        <w:spacing w:before="160" w:after="60"/>
        <w:jc w:val="both"/>
      </w:pPr>
      <w:r>
        <w:rPr>
          <w:rFonts w:ascii="Times New Roman" w:hAnsi="Times New Roman"/>
          <w:b w:val="0"/>
          <w:i/>
          <w:sz w:val="20"/>
        </w:rPr>
        <w:t>7.1 Against the rule this replaces</w:t>
      </w:r>
    </w:p>
    <w:p>
      <w:pPr>
        <w:spacing w:before="0" w:after="120"/>
        <w:jc w:val="both"/>
      </w:pPr>
      <w:r>
        <w:rPr>
          <w:rFonts w:ascii="Times New Roman" w:hAnsi="Times New Roman"/>
          <w:b w:val="0"/>
          <w:i w:val="0"/>
          <w:sz w:val="20"/>
        </w:rPr>
        <w:t>Likelihood ratios are estimated on a training half and every figure below comes from the held-out half; the split is a hash of the article identifier, so runs are reproducible and independent of write order. Source identity is hidden on this corpus and historical articles have no live coverage, so neither provenance nor corroboration is exercised — this measures the content half of the model alone, which is the honest scope of the claim.</w:t>
      </w:r>
    </w:p>
    <w:p>
      <w:pPr>
        <w:spacing w:before="0" w:after="120"/>
        <w:jc w:val="both"/>
      </w:pPr>
      <w:r>
        <w:rPr>
          <w:rFonts w:ascii="Times New Roman" w:hAnsi="Times New Roman"/>
          <w:b w:val="0"/>
          <w:i w:val="0"/>
          <w:sz w:val="20"/>
        </w:rPr>
        <w:t>The corpus is 239 articles whose measurement channel is recorded: every factor in it was produced by the language model rather than by the deterministic fallback the system uses when the model is unavailable. An earlier table was estimated on 1,642 records that did not record the channel, in unknown proportion; those are excluded here (Section 8.1). Of 239, 119 train and 120 test.</w:t>
      </w:r>
    </w:p>
    <w:p>
      <w:pPr>
        <w:spacing w:before="0" w:after="120"/>
        <w:jc w:val="both"/>
      </w:pPr>
      <w:r>
        <w:rPr>
          <w:rFonts w:ascii="Times New Roman" w:hAnsi="Times New Roman"/>
          <w:b w:val="0"/>
          <w:i w:val="0"/>
          <w:sz w:val="20"/>
        </w:rPr>
        <w:t>n = 120 held-out articles:</w:t>
      </w:r>
    </w:p>
    <w:tbl>
      <w:tblPr>
        <w:tblStyle w:val="TableGrid"/>
        <w:tblW w:type="auto" w:w="0"/>
        <w:tblLook w:firstColumn="1" w:firstRow="1" w:lastColumn="0" w:lastRow="0" w:noHBand="0" w:noVBand="1" w:val="04A0"/>
      </w:tblPr>
      <w:tblGrid>
        <w:gridCol w:w="1465"/>
        <w:gridCol w:w="1465"/>
        <w:gridCol w:w="1465"/>
        <w:gridCol w:w="1465"/>
        <w:gridCol w:w="1465"/>
        <w:gridCol w:w="1465"/>
        <w:gridCol w:w="1465"/>
      </w:tblGrid>
      <w:tr>
        <w:tc>
          <w:tcPr>
            <w:tcW w:type="dxa" w:w="1465"/>
          </w:tcPr>
          <w:p>
            <w:r/>
            <w:r>
              <w:rPr>
                <w:rFonts w:ascii="Times New Roman" w:hAnsi="Times New Roman"/>
                <w:b/>
                <w:sz w:val="16"/>
              </w:rPr>
              <w:t>Model</w:t>
            </w:r>
          </w:p>
        </w:tc>
        <w:tc>
          <w:tcPr>
            <w:tcW w:type="dxa" w:w="1465"/>
          </w:tcPr>
          <w:p>
            <w:r/>
            <w:r>
              <w:rPr>
                <w:rFonts w:ascii="Times New Roman" w:hAnsi="Times New Roman"/>
                <w:b/>
                <w:sz w:val="16"/>
              </w:rPr>
              <w:t>Acc.</w:t>
            </w:r>
          </w:p>
        </w:tc>
        <w:tc>
          <w:tcPr>
            <w:tcW w:type="dxa" w:w="1465"/>
          </w:tcPr>
          <w:p>
            <w:r/>
            <w:r>
              <w:rPr>
                <w:rFonts w:ascii="Times New Roman" w:hAnsi="Times New Roman"/>
                <w:b/>
                <w:sz w:val="16"/>
              </w:rPr>
              <w:t>AUC</w:t>
            </w:r>
          </w:p>
        </w:tc>
        <w:tc>
          <w:tcPr>
            <w:tcW w:type="dxa" w:w="1465"/>
          </w:tcPr>
          <w:p>
            <w:r/>
            <w:r>
              <w:rPr>
                <w:rFonts w:ascii="Times New Roman" w:hAnsi="Times New Roman"/>
                <w:b/>
                <w:sz w:val="16"/>
              </w:rPr>
              <w:t>ECE</w:t>
            </w:r>
          </w:p>
        </w:tc>
        <w:tc>
          <w:tcPr>
            <w:tcW w:type="dxa" w:w="1465"/>
          </w:tcPr>
          <w:p>
            <w:r/>
            <w:r>
              <w:rPr>
                <w:rFonts w:ascii="Times New Roman" w:hAnsi="Times New Roman"/>
                <w:b/>
                <w:sz w:val="16"/>
              </w:rPr>
              <w:t>ECE-a</w:t>
            </w:r>
          </w:p>
        </w:tc>
        <w:tc>
          <w:tcPr>
            <w:tcW w:type="dxa" w:w="1465"/>
          </w:tcPr>
          <w:p>
            <w:r/>
            <w:r>
              <w:rPr>
                <w:rFonts w:ascii="Times New Roman" w:hAnsi="Times New Roman"/>
                <w:b/>
                <w:sz w:val="16"/>
              </w:rPr>
              <w:t>Prec-a</w:t>
            </w:r>
          </w:p>
        </w:tc>
        <w:tc>
          <w:tcPr>
            <w:tcW w:type="dxa" w:w="1465"/>
          </w:tcPr>
          <w:p>
            <w:r/>
            <w:r>
              <w:rPr>
                <w:rFonts w:ascii="Times New Roman" w:hAnsi="Times New Roman"/>
                <w:b/>
                <w:sz w:val="16"/>
              </w:rPr>
              <w:t>Brier</w:t>
            </w:r>
          </w:p>
        </w:tc>
      </w:tr>
      <w:tr>
        <w:tc>
          <w:tcPr>
            <w:tcW w:type="dxa" w:w="1465"/>
          </w:tcPr>
          <w:p>
            <w:r/>
            <w:r>
              <w:rPr>
                <w:rFonts w:ascii="Times New Roman" w:hAnsi="Times New Roman"/>
                <w:b w:val="0"/>
                <w:sz w:val="16"/>
              </w:rPr>
              <w:t>Legacy sum</w:t>
            </w:r>
          </w:p>
        </w:tc>
        <w:tc>
          <w:tcPr>
            <w:tcW w:type="dxa" w:w="1465"/>
          </w:tcPr>
          <w:p>
            <w:r/>
            <w:r>
              <w:rPr>
                <w:rFonts w:ascii="Times New Roman" w:hAnsi="Times New Roman"/>
                <w:b w:val="0"/>
                <w:sz w:val="16"/>
              </w:rPr>
              <w:t>0.958</w:t>
            </w:r>
          </w:p>
        </w:tc>
        <w:tc>
          <w:tcPr>
            <w:tcW w:type="dxa" w:w="1465"/>
          </w:tcPr>
          <w:p>
            <w:r/>
            <w:r>
              <w:rPr>
                <w:rFonts w:ascii="Times New Roman" w:hAnsi="Times New Roman"/>
                <w:b w:val="0"/>
                <w:sz w:val="16"/>
              </w:rPr>
              <w:t>0.978</w:t>
            </w:r>
          </w:p>
        </w:tc>
        <w:tc>
          <w:tcPr>
            <w:tcW w:type="dxa" w:w="1465"/>
          </w:tcPr>
          <w:p>
            <w:r/>
            <w:r>
              <w:rPr>
                <w:rFonts w:ascii="Times New Roman" w:hAnsi="Times New Roman"/>
                <w:b w:val="0"/>
                <w:sz w:val="16"/>
              </w:rPr>
              <w:t>0.237</w:t>
            </w:r>
          </w:p>
        </w:tc>
        <w:tc>
          <w:tcPr>
            <w:tcW w:type="dxa" w:w="1465"/>
          </w:tcPr>
          <w:p>
            <w:r/>
            <w:r>
              <w:rPr>
                <w:rFonts w:ascii="Times New Roman" w:hAnsi="Times New Roman"/>
                <w:b w:val="0"/>
                <w:sz w:val="16"/>
              </w:rPr>
              <w:t>0.267</w:t>
            </w:r>
          </w:p>
        </w:tc>
        <w:tc>
          <w:tcPr>
            <w:tcW w:type="dxa" w:w="1465"/>
          </w:tcPr>
          <w:p>
            <w:r/>
            <w:r>
              <w:rPr>
                <w:rFonts w:ascii="Times New Roman" w:hAnsi="Times New Roman"/>
                <w:b w:val="0"/>
                <w:sz w:val="16"/>
              </w:rPr>
              <w:t>0.968</w:t>
            </w:r>
          </w:p>
        </w:tc>
        <w:tc>
          <w:tcPr>
            <w:tcW w:type="dxa" w:w="1465"/>
          </w:tcPr>
          <w:p>
            <w:r/>
            <w:r>
              <w:rPr>
                <w:rFonts w:ascii="Times New Roman" w:hAnsi="Times New Roman"/>
                <w:b w:val="0"/>
                <w:sz w:val="16"/>
              </w:rPr>
              <w:t>0.101</w:t>
            </w:r>
          </w:p>
        </w:tc>
      </w:tr>
      <w:tr>
        <w:tc>
          <w:tcPr>
            <w:tcW w:type="dxa" w:w="1465"/>
          </w:tcPr>
          <w:p>
            <w:r/>
            <w:r>
              <w:rPr>
                <w:rFonts w:ascii="Times New Roman" w:hAnsi="Times New Roman"/>
                <w:b w:val="0"/>
                <w:sz w:val="16"/>
              </w:rPr>
              <w:t>WoE, raw</w:t>
            </w:r>
          </w:p>
        </w:tc>
        <w:tc>
          <w:tcPr>
            <w:tcW w:type="dxa" w:w="1465"/>
          </w:tcPr>
          <w:p>
            <w:r/>
            <w:r>
              <w:rPr>
                <w:rFonts w:ascii="Times New Roman" w:hAnsi="Times New Roman"/>
                <w:b w:val="0"/>
                <w:sz w:val="16"/>
              </w:rPr>
              <w:t>0.950</w:t>
            </w:r>
          </w:p>
        </w:tc>
        <w:tc>
          <w:tcPr>
            <w:tcW w:type="dxa" w:w="1465"/>
          </w:tcPr>
          <w:p>
            <w:r/>
            <w:r>
              <w:rPr>
                <w:rFonts w:ascii="Times New Roman" w:hAnsi="Times New Roman"/>
                <w:b w:val="0"/>
                <w:sz w:val="16"/>
              </w:rPr>
              <w:t>0.973</w:t>
            </w:r>
          </w:p>
        </w:tc>
        <w:tc>
          <w:tcPr>
            <w:tcW w:type="dxa" w:w="1465"/>
          </w:tcPr>
          <w:p>
            <w:r/>
            <w:r>
              <w:rPr>
                <w:rFonts w:ascii="Times New Roman" w:hAnsi="Times New Roman"/>
                <w:b w:val="0"/>
                <w:sz w:val="16"/>
              </w:rPr>
              <w:t>0.308</w:t>
            </w:r>
          </w:p>
        </w:tc>
        <w:tc>
          <w:tcPr>
            <w:tcW w:type="dxa" w:w="1465"/>
          </w:tcPr>
          <w:p>
            <w:r/>
            <w:r>
              <w:rPr>
                <w:rFonts w:ascii="Times New Roman" w:hAnsi="Times New Roman"/>
                <w:b w:val="0"/>
                <w:sz w:val="16"/>
              </w:rPr>
              <w:t>0.257</w:t>
            </w:r>
          </w:p>
        </w:tc>
        <w:tc>
          <w:tcPr>
            <w:tcW w:type="dxa" w:w="1465"/>
          </w:tcPr>
          <w:p>
            <w:r/>
            <w:r>
              <w:rPr>
                <w:rFonts w:ascii="Times New Roman" w:hAnsi="Times New Roman"/>
                <w:b w:val="0"/>
                <w:sz w:val="16"/>
              </w:rPr>
              <w:t>0.967</w:t>
            </w:r>
          </w:p>
        </w:tc>
        <w:tc>
          <w:tcPr>
            <w:tcW w:type="dxa" w:w="1465"/>
          </w:tcPr>
          <w:p>
            <w:r/>
            <w:r>
              <w:rPr>
                <w:rFonts w:ascii="Times New Roman" w:hAnsi="Times New Roman"/>
                <w:b w:val="0"/>
                <w:sz w:val="16"/>
              </w:rPr>
              <w:t>0.142</w:t>
            </w:r>
          </w:p>
        </w:tc>
      </w:tr>
      <w:tr>
        <w:tc>
          <w:tcPr>
            <w:tcW w:type="dxa" w:w="1465"/>
          </w:tcPr>
          <w:p>
            <w:r/>
            <w:r>
              <w:rPr>
                <w:rFonts w:ascii="Times New Roman" w:hAnsi="Times New Roman"/>
                <w:b w:val="0"/>
                <w:sz w:val="16"/>
              </w:rPr>
              <w:t>WoE, isotonic, clamp not re-applied</w:t>
            </w:r>
          </w:p>
        </w:tc>
        <w:tc>
          <w:tcPr>
            <w:tcW w:type="dxa" w:w="1465"/>
          </w:tcPr>
          <w:p>
            <w:r/>
            <w:r>
              <w:rPr>
                <w:rFonts w:ascii="Times New Roman" w:hAnsi="Times New Roman"/>
                <w:b w:val="0"/>
                <w:sz w:val="16"/>
              </w:rPr>
              <w:t>0.950</w:t>
            </w:r>
          </w:p>
        </w:tc>
        <w:tc>
          <w:tcPr>
            <w:tcW w:type="dxa" w:w="1465"/>
          </w:tcPr>
          <w:p>
            <w:r/>
            <w:r>
              <w:rPr>
                <w:rFonts w:ascii="Times New Roman" w:hAnsi="Times New Roman"/>
                <w:b w:val="0"/>
                <w:sz w:val="16"/>
              </w:rPr>
              <w:t>0.957</w:t>
            </w:r>
          </w:p>
        </w:tc>
        <w:tc>
          <w:tcPr>
            <w:tcW w:type="dxa" w:w="1465"/>
          </w:tcPr>
          <w:p>
            <w:r/>
            <w:r>
              <w:rPr>
                <w:rFonts w:ascii="Times New Roman" w:hAnsi="Times New Roman"/>
                <w:b w:val="0"/>
                <w:sz w:val="16"/>
              </w:rPr>
              <w:t>0.028</w:t>
            </w:r>
          </w:p>
        </w:tc>
        <w:tc>
          <w:tcPr>
            <w:tcW w:type="dxa" w:w="1465"/>
          </w:tcPr>
          <w:p>
            <w:r/>
            <w:r>
              <w:rPr>
                <w:rFonts w:ascii="Times New Roman" w:hAnsi="Times New Roman"/>
                <w:b w:val="0"/>
                <w:sz w:val="16"/>
              </w:rPr>
              <w:t>0.013</w:t>
            </w:r>
          </w:p>
        </w:tc>
        <w:tc>
          <w:tcPr>
            <w:tcW w:type="dxa" w:w="1465"/>
          </w:tcPr>
          <w:p>
            <w:r/>
            <w:r>
              <w:rPr>
                <w:rFonts w:ascii="Times New Roman" w:hAnsi="Times New Roman"/>
                <w:b w:val="0"/>
                <w:sz w:val="16"/>
              </w:rPr>
              <w:t>0.967</w:t>
            </w:r>
          </w:p>
        </w:tc>
        <w:tc>
          <w:tcPr>
            <w:tcW w:type="dxa" w:w="1465"/>
          </w:tcPr>
          <w:p>
            <w:r/>
            <w:r>
              <w:rPr>
                <w:rFonts w:ascii="Times New Roman" w:hAnsi="Times New Roman"/>
                <w:b w:val="0"/>
                <w:sz w:val="16"/>
              </w:rPr>
              <w:t>0.048</w:t>
            </w:r>
          </w:p>
        </w:tc>
      </w:tr>
      <w:tr>
        <w:tc>
          <w:tcPr>
            <w:tcW w:type="dxa" w:w="1465"/>
          </w:tcPr>
          <w:p>
            <w:r/>
            <w:r>
              <w:rPr>
                <w:rFonts w:ascii="Times New Roman" w:hAnsi="Times New Roman"/>
                <w:b w:val="0"/>
                <w:sz w:val="16"/>
              </w:rPr>
              <w:t>WoE, as deployed</w:t>
            </w:r>
          </w:p>
        </w:tc>
        <w:tc>
          <w:tcPr>
            <w:tcW w:type="dxa" w:w="1465"/>
          </w:tcPr>
          <w:p>
            <w:r/>
            <w:r>
              <w:rPr>
                <w:rFonts w:ascii="Times New Roman" w:hAnsi="Times New Roman"/>
                <w:b w:val="0"/>
                <w:sz w:val="16"/>
              </w:rPr>
              <w:t>0.950</w:t>
            </w:r>
          </w:p>
        </w:tc>
        <w:tc>
          <w:tcPr>
            <w:tcW w:type="dxa" w:w="1465"/>
          </w:tcPr>
          <w:p>
            <w:r/>
            <w:r>
              <w:rPr>
                <w:rFonts w:ascii="Times New Roman" w:hAnsi="Times New Roman"/>
                <w:b w:val="0"/>
                <w:sz w:val="16"/>
              </w:rPr>
              <w:t>0.951</w:t>
            </w:r>
          </w:p>
        </w:tc>
        <w:tc>
          <w:tcPr>
            <w:tcW w:type="dxa" w:w="1465"/>
          </w:tcPr>
          <w:p>
            <w:r/>
            <w:r>
              <w:rPr>
                <w:rFonts w:ascii="Times New Roman" w:hAnsi="Times New Roman"/>
                <w:b w:val="0"/>
                <w:sz w:val="16"/>
              </w:rPr>
              <w:t>0.246</w:t>
            </w:r>
          </w:p>
        </w:tc>
        <w:tc>
          <w:tcPr>
            <w:tcW w:type="dxa" w:w="1465"/>
          </w:tcPr>
          <w:p>
            <w:r/>
            <w:r>
              <w:rPr>
                <w:rFonts w:ascii="Times New Roman" w:hAnsi="Times New Roman"/>
                <w:b w:val="0"/>
                <w:sz w:val="16"/>
              </w:rPr>
              <w:t>0.152</w:t>
            </w:r>
          </w:p>
        </w:tc>
        <w:tc>
          <w:tcPr>
            <w:tcW w:type="dxa" w:w="1465"/>
          </w:tcPr>
          <w:p>
            <w:r/>
            <w:r>
              <w:rPr>
                <w:rFonts w:ascii="Times New Roman" w:hAnsi="Times New Roman"/>
                <w:b w:val="0"/>
                <w:sz w:val="16"/>
              </w:rPr>
              <w:t>0.967</w:t>
            </w:r>
          </w:p>
        </w:tc>
        <w:tc>
          <w:tcPr>
            <w:tcW w:type="dxa" w:w="1465"/>
          </w:tcPr>
          <w:p>
            <w:r/>
            <w:r>
              <w:rPr>
                <w:rFonts w:ascii="Times New Roman" w:hAnsi="Times New Roman"/>
                <w:b w:val="0"/>
                <w:sz w:val="16"/>
              </w:rPr>
              <w:t>0.117</w:t>
            </w:r>
          </w:p>
        </w:tc>
      </w:tr>
    </w:tbl>
    <w:p>
      <w:pPr>
        <w:spacing w:before="0" w:after="80"/>
        <w:jc w:val="both"/>
      </w:pPr>
      <w:r>
        <w:rPr>
          <w:rFonts w:ascii="Times New Roman" w:hAnsi="Times New Roman"/>
          <w:b w:val="0"/>
          <w:i w:val="0"/>
          <w:sz w:val="8"/>
        </w:rPr>
        <w:t xml:space="preserve"> </w:t>
      </w:r>
    </w:p>
    <w:p>
      <w:pPr>
        <w:spacing w:before="0" w:after="120"/>
        <w:jc w:val="both"/>
      </w:pPr>
      <w:r>
        <w:rPr>
          <w:rFonts w:ascii="Times New Roman" w:hAnsi="Times New Roman"/>
          <w:b w:val="0"/>
          <w:i w:val="0"/>
          <w:sz w:val="20"/>
        </w:rPr>
        <w:t>ECE-a and Prec-a are expected calibration error and precision computed over the predictions where the system accuses, that is where it states a probability of fabrication above one half. Lower is better for every column but accuracy, AUC and precision.</w:t>
      </w:r>
    </w:p>
    <w:p>
      <w:pPr>
        <w:spacing w:before="0" w:after="120"/>
        <w:jc w:val="both"/>
      </w:pPr>
      <w:r>
        <w:rPr>
          <w:rFonts w:ascii="Times New Roman" w:hAnsi="Times New Roman"/>
          <w:b w:val="0"/>
          <w:i w:val="0"/>
          <w:sz w:val="20"/>
        </w:rPr>
        <w:t>The accuracy difference is one article. 114 correct against 115, of 120. We draw no conclusion from it, and the earlier claim that accuracy rose from 0.888 to 0.954 does not survive the clean re-estimation: it was measured on the contaminated corpus and is withdrawn. On ISOT the two models classify equivalently, and the legacy rule ranks better (AUC 0.978 against 0.951 for the model as deployed).</w:t>
      </w:r>
    </w:p>
    <w:p>
      <w:pPr>
        <w:spacing w:before="0" w:after="120"/>
        <w:jc w:val="both"/>
      </w:pPr>
      <w:r>
        <w:rPr>
          <w:rFonts w:ascii="Times New Roman" w:hAnsi="Times New Roman"/>
          <w:b w:val="0"/>
          <w:i w:val="0"/>
          <w:sz w:val="20"/>
        </w:rPr>
        <w:t>What separates them is calibration where the system accuses — which is where a false statement does harm. As deployed, expected calibration error on accusations falls from 0.267 to 0.152. The isotonic row reaches 0.013, but only because its map is free to move articles toward "genuine" on clean style, which the admissibility rule forbids; Section 5 re-applies the rule after calibration, and the deployed row is the result of doing so. Overall calibration does not improve (ECE 0.246 against 0.237; Brier 0.117 against 0.101), for a reason the reliability table shows directly: the 59 held-out articles in the lowest band are stated at 0.41 — the prior — and observed fabricated at 0.07. On ISOT the only exculpatory evidence is style, so the deployed model declines to exonerate anything; exoneration is left to corroboration and provenance, neither of which this corpus can exercise. A hand-weighted sum that is right about which articles are fabricated can still be badly wrong about how sure it is when it accuses; the reader sees the confidence, not the ranking.</w:t>
      </w:r>
    </w:p>
    <w:p>
      <w:pPr>
        <w:spacing w:before="0" w:after="120"/>
        <w:jc w:val="both"/>
      </w:pPr>
      <w:r>
        <w:rPr>
          <w:rFonts w:ascii="Times New Roman" w:hAnsi="Times New Roman"/>
          <w:b w:val="0"/>
          <w:i w:val="0"/>
          <w:sz w:val="20"/>
        </w:rPr>
        <w:t>This is the result the design predicts rather than a disappointing one. The admissibility rule removes evidence from the model — all of the exculpatory evidence a corpus of crude fabrications makes available — so discrimination on that corpus can only fall or hold. What is bought with it is a probability that means what it says, and a system whose residual error points toward suspicion rather than toward false reassurance.</w:t>
      </w:r>
    </w:p>
    <w:p>
      <w:pPr>
        <w:spacing w:before="160" w:after="60"/>
        <w:jc w:val="both"/>
      </w:pPr>
      <w:r>
        <w:rPr>
          <w:rFonts w:ascii="Times New Roman" w:hAnsi="Times New Roman"/>
          <w:b w:val="0"/>
          <w:i/>
          <w:sz w:val="20"/>
        </w:rPr>
        <w:t>7.2 What the admissibility rule costs</w:t>
      </w:r>
    </w:p>
    <w:p>
      <w:pPr>
        <w:spacing w:before="0" w:after="120"/>
        <w:jc w:val="both"/>
      </w:pPr>
      <w:r>
        <w:rPr>
          <w:rFonts w:ascii="Times New Roman" w:hAnsi="Times New Roman"/>
          <w:b w:val="0"/>
          <w:i w:val="0"/>
          <w:sz w:val="20"/>
        </w:rPr>
        <w:t>In the deployed configuration, disabling the clamp raises ROC-AUC from 0.951 to 0.983 on the clean corpus and raises calibration error on accusations from 0.152 to 0.191; the legacy hand-weighted rule — which admits exculpatory style evidence freely — reaches 0.978. The gain is real and it is a trap: it comes from learning that fluent prose indicates a genuine article, which holds on a corpus whose fabrications are crude and fails against a competent one. ISOT contains no competent fabrications to expose the error; the adversarial set of Section 7.6 contains ten. We report both configurations and ship the clamp.</w:t>
      </w:r>
    </w:p>
    <w:p>
      <w:pPr>
        <w:spacing w:before="160" w:after="60"/>
        <w:jc w:val="both"/>
      </w:pPr>
      <w:r>
        <w:rPr>
          <w:rFonts w:ascii="Times New Roman" w:hAnsi="Times New Roman"/>
          <w:b w:val="0"/>
          <w:i/>
          <w:sz w:val="20"/>
        </w:rPr>
        <w:t>7.3 Phase I measurement — superseded, retained for the record</w:t>
      </w:r>
    </w:p>
    <w:p>
      <w:pPr>
        <w:spacing w:before="0" w:after="120"/>
        <w:jc w:val="both"/>
      </w:pPr>
      <w:r>
        <w:rPr>
          <w:rFonts w:ascii="Times New Roman" w:hAnsi="Times New Roman"/>
          <w:b w:val="0"/>
          <w:i w:val="0"/>
          <w:sz w:val="20"/>
        </w:rPr>
        <w:t>The following is not a result about the system described in this paper. It was measured on a four-factor pipeline, using a model (meta/llama-3.1-8b-instruct) that its provider has since withdrawn, against a baseline later found to be performing undocumented retrieval. The transparency and persuasion factors did not exist when it was taken. It is retained because it is the measurement that motivated the architecture, and removing it would hide the reasoning; it should not be read as evidence about the present system, and Section 7.1 is the measurement that is.</w:t>
      </w:r>
    </w:p>
    <w:p>
      <w:pPr>
        <w:spacing w:before="0" w:after="120"/>
        <w:jc w:val="both"/>
      </w:pPr>
      <w:r>
        <w:rPr>
          <w:rFonts w:ascii="Times New Roman" w:hAnsi="Times New Roman"/>
          <w:b w:val="0"/>
          <w:i w:val="0"/>
          <w:sz w:val="20"/>
        </w:rPr>
        <w:t>n = 300 per configuration, stratified 150 fake / 150 real, seed 42:</w:t>
      </w:r>
    </w:p>
    <w:tbl>
      <w:tblPr>
        <w:tblStyle w:val="TableGrid"/>
        <w:tblW w:type="auto" w:w="0"/>
        <w:tblLook w:firstColumn="1" w:firstRow="1" w:lastColumn="0" w:lastRow="0" w:noHBand="0" w:noVBand="1" w:val="04A0"/>
      </w:tblPr>
      <w:tblGrid>
        <w:gridCol w:w="1709"/>
        <w:gridCol w:w="1709"/>
        <w:gridCol w:w="1709"/>
        <w:gridCol w:w="1709"/>
        <w:gridCol w:w="1709"/>
        <w:gridCol w:w="1709"/>
      </w:tblGrid>
      <w:tr>
        <w:tc>
          <w:tcPr>
            <w:tcW w:type="dxa" w:w="1709"/>
          </w:tcPr>
          <w:p>
            <w:r/>
            <w:r>
              <w:rPr>
                <w:rFonts w:ascii="Times New Roman" w:hAnsi="Times New Roman"/>
                <w:b/>
                <w:sz w:val="16"/>
              </w:rPr>
              <w:t>Configuration</w:t>
            </w:r>
          </w:p>
        </w:tc>
        <w:tc>
          <w:tcPr>
            <w:tcW w:type="dxa" w:w="1709"/>
          </w:tcPr>
          <w:p>
            <w:r/>
            <w:r>
              <w:rPr>
                <w:rFonts w:ascii="Times New Roman" w:hAnsi="Times New Roman"/>
                <w:b/>
                <w:sz w:val="16"/>
              </w:rPr>
              <w:t>Accuracy</w:t>
            </w:r>
          </w:p>
        </w:tc>
        <w:tc>
          <w:tcPr>
            <w:tcW w:type="dxa" w:w="1709"/>
          </w:tcPr>
          <w:p>
            <w:r/>
            <w:r>
              <w:rPr>
                <w:rFonts w:ascii="Times New Roman" w:hAnsi="Times New Roman"/>
                <w:b/>
                <w:sz w:val="16"/>
              </w:rPr>
              <w:t>Macro-F1</w:t>
            </w:r>
          </w:p>
        </w:tc>
        <w:tc>
          <w:tcPr>
            <w:tcW w:type="dxa" w:w="1709"/>
          </w:tcPr>
          <w:p>
            <w:r/>
            <w:r>
              <w:rPr>
                <w:rFonts w:ascii="Times New Roman" w:hAnsi="Times New Roman"/>
                <w:b/>
                <w:sz w:val="16"/>
              </w:rPr>
              <w:t>ROC-AUC</w:t>
            </w:r>
          </w:p>
        </w:tc>
        <w:tc>
          <w:tcPr>
            <w:tcW w:type="dxa" w:w="1709"/>
          </w:tcPr>
          <w:p>
            <w:r/>
            <w:r>
              <w:rPr>
                <w:rFonts w:ascii="Times New Roman" w:hAnsi="Times New Roman"/>
                <w:b/>
                <w:sz w:val="16"/>
              </w:rPr>
              <w:t>ECE raw</w:t>
            </w:r>
          </w:p>
        </w:tc>
        <w:tc>
          <w:tcPr>
            <w:tcW w:type="dxa" w:w="1709"/>
          </w:tcPr>
          <w:p>
            <w:r/>
            <w:r>
              <w:rPr>
                <w:rFonts w:ascii="Times New Roman" w:hAnsi="Times New Roman"/>
                <w:b/>
                <w:sz w:val="16"/>
              </w:rPr>
              <w:t>ECE calibrated</w:t>
            </w:r>
          </w:p>
        </w:tc>
      </w:tr>
      <w:tr>
        <w:tc>
          <w:tcPr>
            <w:tcW w:type="dxa" w:w="1709"/>
          </w:tcPr>
          <w:p>
            <w:r/>
            <w:r>
              <w:rPr>
                <w:rFonts w:ascii="Times New Roman" w:hAnsi="Times New Roman"/>
                <w:b w:val="0"/>
                <w:sz w:val="16"/>
              </w:rPr>
              <w:t>Single-prompt baseline</w:t>
            </w:r>
          </w:p>
        </w:tc>
        <w:tc>
          <w:tcPr>
            <w:tcW w:type="dxa" w:w="1709"/>
          </w:tcPr>
          <w:p>
            <w:r/>
            <w:r>
              <w:rPr>
                <w:rFonts w:ascii="Times New Roman" w:hAnsi="Times New Roman"/>
                <w:b w:val="0"/>
                <w:sz w:val="16"/>
              </w:rPr>
              <w:t>82.0%</w:t>
            </w:r>
          </w:p>
        </w:tc>
        <w:tc>
          <w:tcPr>
            <w:tcW w:type="dxa" w:w="1709"/>
          </w:tcPr>
          <w:p>
            <w:r/>
            <w:r>
              <w:rPr>
                <w:rFonts w:ascii="Times New Roman" w:hAnsi="Times New Roman"/>
                <w:b w:val="0"/>
                <w:sz w:val="16"/>
              </w:rPr>
              <w:t>81.9%</w:t>
            </w:r>
          </w:p>
        </w:tc>
        <w:tc>
          <w:tcPr>
            <w:tcW w:type="dxa" w:w="1709"/>
          </w:tcPr>
          <w:p>
            <w:r/>
            <w:r>
              <w:rPr>
                <w:rFonts w:ascii="Times New Roman" w:hAnsi="Times New Roman"/>
                <w:b w:val="0"/>
                <w:sz w:val="16"/>
              </w:rPr>
              <w:t>0.838</w:t>
            </w:r>
          </w:p>
        </w:tc>
        <w:tc>
          <w:tcPr>
            <w:tcW w:type="dxa" w:w="1709"/>
          </w:tcPr>
          <w:p>
            <w:r/>
            <w:r>
              <w:rPr>
                <w:rFonts w:ascii="Times New Roman" w:hAnsi="Times New Roman"/>
                <w:b w:val="0"/>
                <w:sz w:val="16"/>
              </w:rPr>
              <w:t>0.215</w:t>
            </w:r>
          </w:p>
        </w:tc>
        <w:tc>
          <w:tcPr>
            <w:tcW w:type="dxa" w:w="1709"/>
          </w:tcPr>
          <w:p>
            <w:r/>
            <w:r>
              <w:rPr>
                <w:rFonts w:ascii="Times New Roman" w:hAnsi="Times New Roman"/>
                <w:b w:val="0"/>
                <w:sz w:val="16"/>
              </w:rPr>
              <w:t>0.151</w:t>
            </w:r>
          </w:p>
        </w:tc>
      </w:tr>
      <w:tr>
        <w:tc>
          <w:tcPr>
            <w:tcW w:type="dxa" w:w="1709"/>
          </w:tcPr>
          <w:p>
            <w:r/>
            <w:r>
              <w:rPr>
                <w:rFonts w:ascii="Times New Roman" w:hAnsi="Times New Roman"/>
                <w:b w:val="0"/>
                <w:sz w:val="16"/>
              </w:rPr>
              <w:t>Pipeline (clickbait + bias)</w:t>
            </w:r>
          </w:p>
        </w:tc>
        <w:tc>
          <w:tcPr>
            <w:tcW w:type="dxa" w:w="1709"/>
          </w:tcPr>
          <w:p>
            <w:r/>
            <w:r>
              <w:rPr>
                <w:rFonts w:ascii="Times New Roman" w:hAnsi="Times New Roman"/>
                <w:b w:val="0"/>
                <w:sz w:val="16"/>
              </w:rPr>
              <w:t>94.7%</w:t>
            </w:r>
          </w:p>
        </w:tc>
        <w:tc>
          <w:tcPr>
            <w:tcW w:type="dxa" w:w="1709"/>
          </w:tcPr>
          <w:p>
            <w:r/>
            <w:r>
              <w:rPr>
                <w:rFonts w:ascii="Times New Roman" w:hAnsi="Times New Roman"/>
                <w:b w:val="0"/>
                <w:sz w:val="16"/>
              </w:rPr>
              <w:t>94.7%</w:t>
            </w:r>
          </w:p>
        </w:tc>
        <w:tc>
          <w:tcPr>
            <w:tcW w:type="dxa" w:w="1709"/>
          </w:tcPr>
          <w:p>
            <w:r/>
            <w:r>
              <w:rPr>
                <w:rFonts w:ascii="Times New Roman" w:hAnsi="Times New Roman"/>
                <w:b w:val="0"/>
                <w:sz w:val="16"/>
              </w:rPr>
              <w:t>0.987</w:t>
            </w:r>
          </w:p>
        </w:tc>
        <w:tc>
          <w:tcPr>
            <w:tcW w:type="dxa" w:w="1709"/>
          </w:tcPr>
          <w:p>
            <w:r/>
            <w:r>
              <w:rPr>
                <w:rFonts w:ascii="Times New Roman" w:hAnsi="Times New Roman"/>
                <w:b w:val="0"/>
                <w:sz w:val="16"/>
              </w:rPr>
              <w:t>0.277</w:t>
            </w:r>
          </w:p>
        </w:tc>
        <w:tc>
          <w:tcPr>
            <w:tcW w:type="dxa" w:w="1709"/>
          </w:tcPr>
          <w:p>
            <w:r/>
            <w:r>
              <w:rPr>
                <w:rFonts w:ascii="Times New Roman" w:hAnsi="Times New Roman"/>
                <w:b w:val="0"/>
                <w:sz w:val="16"/>
              </w:rPr>
              <w:t>0.073</w:t>
            </w:r>
          </w:p>
        </w:tc>
      </w:tr>
      <w:tr>
        <w:tc>
          <w:tcPr>
            <w:tcW w:type="dxa" w:w="1709"/>
          </w:tcPr>
          <w:p>
            <w:r/>
            <w:r>
              <w:rPr>
                <w:rFonts w:ascii="Times New Roman" w:hAnsi="Times New Roman"/>
                <w:b w:val="0"/>
                <w:sz w:val="16"/>
              </w:rPr>
              <w:t>Ablation: clickbait only</w:t>
            </w:r>
          </w:p>
        </w:tc>
        <w:tc>
          <w:tcPr>
            <w:tcW w:type="dxa" w:w="1709"/>
          </w:tcPr>
          <w:p>
            <w:r/>
            <w:r>
              <w:rPr>
                <w:rFonts w:ascii="Times New Roman" w:hAnsi="Times New Roman"/>
                <w:b w:val="0"/>
                <w:sz w:val="16"/>
              </w:rPr>
              <w:t>93.3%</w:t>
            </w:r>
          </w:p>
        </w:tc>
        <w:tc>
          <w:tcPr>
            <w:tcW w:type="dxa" w:w="1709"/>
          </w:tcPr>
          <w:p>
            <w:r/>
            <w:r>
              <w:rPr>
                <w:rFonts w:ascii="Times New Roman" w:hAnsi="Times New Roman"/>
                <w:b w:val="0"/>
                <w:sz w:val="16"/>
              </w:rPr>
              <w:t>93.3%</w:t>
            </w:r>
          </w:p>
        </w:tc>
        <w:tc>
          <w:tcPr>
            <w:tcW w:type="dxa" w:w="1709"/>
          </w:tcPr>
          <w:p>
            <w:r/>
            <w:r>
              <w:rPr>
                <w:rFonts w:ascii="Times New Roman" w:hAnsi="Times New Roman"/>
                <w:b w:val="0"/>
                <w:sz w:val="16"/>
              </w:rPr>
              <w:t>0.975</w:t>
            </w:r>
          </w:p>
        </w:tc>
        <w:tc>
          <w:tcPr>
            <w:tcW w:type="dxa" w:w="1709"/>
          </w:tcPr>
          <w:p>
            <w:r/>
            <w:r>
              <w:rPr>
                <w:rFonts w:ascii="Times New Roman" w:hAnsi="Times New Roman"/>
                <w:b w:val="0"/>
                <w:sz w:val="16"/>
              </w:rPr>
              <w:t>0.339</w:t>
            </w:r>
          </w:p>
        </w:tc>
        <w:tc>
          <w:tcPr>
            <w:tcW w:type="dxa" w:w="1709"/>
          </w:tcPr>
          <w:p>
            <w:r/>
            <w:r>
              <w:rPr>
                <w:rFonts w:ascii="Times New Roman" w:hAnsi="Times New Roman"/>
                <w:b w:val="0"/>
                <w:sz w:val="16"/>
              </w:rPr>
              <w:t>0.118</w:t>
            </w:r>
          </w:p>
        </w:tc>
      </w:tr>
      <w:tr>
        <w:tc>
          <w:tcPr>
            <w:tcW w:type="dxa" w:w="1709"/>
          </w:tcPr>
          <w:p>
            <w:r/>
            <w:r>
              <w:rPr>
                <w:rFonts w:ascii="Times New Roman" w:hAnsi="Times New Roman"/>
                <w:b w:val="0"/>
                <w:sz w:val="16"/>
              </w:rPr>
              <w:t>Ablation: bias only</w:t>
            </w:r>
          </w:p>
        </w:tc>
        <w:tc>
          <w:tcPr>
            <w:tcW w:type="dxa" w:w="1709"/>
          </w:tcPr>
          <w:p>
            <w:r/>
            <w:r>
              <w:rPr>
                <w:rFonts w:ascii="Times New Roman" w:hAnsi="Times New Roman"/>
                <w:b w:val="0"/>
                <w:sz w:val="16"/>
              </w:rPr>
              <w:t>92.7%</w:t>
            </w:r>
          </w:p>
        </w:tc>
        <w:tc>
          <w:tcPr>
            <w:tcW w:type="dxa" w:w="1709"/>
          </w:tcPr>
          <w:p>
            <w:r/>
            <w:r>
              <w:rPr>
                <w:rFonts w:ascii="Times New Roman" w:hAnsi="Times New Roman"/>
                <w:b w:val="0"/>
                <w:sz w:val="16"/>
              </w:rPr>
              <w:t>92.7%</w:t>
            </w:r>
          </w:p>
        </w:tc>
        <w:tc>
          <w:tcPr>
            <w:tcW w:type="dxa" w:w="1709"/>
          </w:tcPr>
          <w:p>
            <w:r/>
            <w:r>
              <w:rPr>
                <w:rFonts w:ascii="Times New Roman" w:hAnsi="Times New Roman"/>
                <w:b w:val="0"/>
                <w:sz w:val="16"/>
              </w:rPr>
              <w:t>0.934</w:t>
            </w:r>
          </w:p>
        </w:tc>
        <w:tc>
          <w:tcPr>
            <w:tcW w:type="dxa" w:w="1709"/>
          </w:tcPr>
          <w:p>
            <w:r/>
            <w:r>
              <w:rPr>
                <w:rFonts w:ascii="Times New Roman" w:hAnsi="Times New Roman"/>
                <w:b w:val="0"/>
                <w:sz w:val="16"/>
              </w:rPr>
              <w:t>0.359</w:t>
            </w:r>
          </w:p>
        </w:tc>
        <w:tc>
          <w:tcPr>
            <w:tcW w:type="dxa" w:w="1709"/>
          </w:tcPr>
          <w:p>
            <w:r/>
            <w:r>
              <w:rPr>
                <w:rFonts w:ascii="Times New Roman" w:hAnsi="Times New Roman"/>
                <w:b w:val="0"/>
                <w:sz w:val="16"/>
              </w:rPr>
              <w:t>0.204</w:t>
            </w:r>
          </w:p>
        </w:tc>
      </w:tr>
    </w:tbl>
    <w:p>
      <w:pPr>
        <w:spacing w:before="0" w:after="80"/>
        <w:jc w:val="both"/>
      </w:pPr>
      <w:r>
        <w:rPr>
          <w:rFonts w:ascii="Times New Roman" w:hAnsi="Times New Roman"/>
          <w:b w:val="0"/>
          <w:i w:val="0"/>
          <w:sz w:val="8"/>
        </w:rPr>
        <w:t xml:space="preserve"> </w:t>
      </w:r>
    </w:p>
    <w:p>
      <w:pPr>
        <w:spacing w:before="0" w:after="120"/>
        <w:jc w:val="both"/>
      </w:pPr>
      <w:r>
        <w:rPr>
          <w:rFonts w:ascii="Times New Roman" w:hAnsi="Times New Roman"/>
          <w:b w:val="0"/>
          <w:i w:val="0"/>
          <w:sz w:val="20"/>
        </w:rPr>
        <w:t>Two things in it shaped the design. Decomposing the judgement into focused factors outperformed a single holistic prompt over the same model by 12.7 accuracy points, which is the case for a factored pipeline over an LLM-black-box. And the ablation ordering is clean — bias alone 0.934, clickbait alone 0.975, combined 0.987 — so the factors contribute separately rather than one carrying the other. Platt scaling [8] fitted on the validation half reduced expected calibration error from 0.277 to 0.073, which is what first indicated that raw scores from this kind of pipeline rank adequately and state probabilities badly.</w:t>
      </w:r>
    </w:p>
    <w:p>
      <w:pPr>
        <w:spacing w:before="0" w:after="120"/>
        <w:jc w:val="both"/>
      </w:pPr>
      <w:r>
        <w:rPr>
          <w:rFonts w:ascii="Times New Roman" w:hAnsi="Times New Roman"/>
          <w:b w:val="0"/>
          <w:i w:val="0"/>
          <w:sz w:val="20"/>
        </w:rPr>
        <w:t>Re-running these ablations on the current pipeline and a current model is Section 10.1.</w:t>
      </w:r>
    </w:p>
    <w:p>
      <w:pPr>
        <w:spacing w:before="160" w:after="60"/>
        <w:jc w:val="both"/>
      </w:pPr>
      <w:r>
        <w:rPr>
          <w:rFonts w:ascii="Times New Roman" w:hAnsi="Times New Roman"/>
          <w:b w:val="0"/>
          <w:i/>
          <w:sz w:val="20"/>
        </w:rPr>
        <w:t>7.4 Input length and structured-output reliability</w:t>
      </w:r>
    </w:p>
    <w:p>
      <w:pPr>
        <w:spacing w:before="0" w:after="120"/>
        <w:jc w:val="both"/>
      </w:pPr>
      <w:r>
        <w:rPr>
          <w:rFonts w:ascii="Times New Roman" w:hAnsi="Times New Roman"/>
          <w:b w:val="0"/>
          <w:i w:val="0"/>
          <w:sz w:val="20"/>
        </w:rPr>
        <w:t>Model reply budgets are shared between reasoning and the required JSON. Feeding more article text is therefore not monotonically beneficial. Measured on a reasoning model with a fixed budget:</w:t>
      </w:r>
    </w:p>
    <w:tbl>
      <w:tblPr>
        <w:tblStyle w:val="TableGrid"/>
        <w:tblW w:type="auto" w:w="0"/>
        <w:tblLook w:firstColumn="1" w:firstRow="1" w:lastColumn="0" w:lastRow="0" w:noHBand="0" w:noVBand="1" w:val="04A0"/>
      </w:tblPr>
      <w:tblGrid>
        <w:gridCol w:w="3419"/>
        <w:gridCol w:w="3419"/>
        <w:gridCol w:w="3419"/>
      </w:tblGrid>
      <w:tr>
        <w:tc>
          <w:tcPr>
            <w:tcW w:type="dxa" w:w="3419"/>
          </w:tcPr>
          <w:p>
            <w:r/>
            <w:r>
              <w:rPr>
                <w:rFonts w:ascii="Times New Roman" w:hAnsi="Times New Roman"/>
                <w:b/>
                <w:sz w:val="16"/>
              </w:rPr>
              <w:t>Input characters</w:t>
            </w:r>
          </w:p>
        </w:tc>
        <w:tc>
          <w:tcPr>
            <w:tcW w:type="dxa" w:w="3419"/>
          </w:tcPr>
          <w:p>
            <w:r/>
            <w:r>
              <w:rPr>
                <w:rFonts w:ascii="Times New Roman" w:hAnsi="Times New Roman"/>
                <w:b/>
                <w:sz w:val="16"/>
              </w:rPr>
              <w:t>Short summary</w:t>
            </w:r>
          </w:p>
        </w:tc>
        <w:tc>
          <w:tcPr>
            <w:tcW w:type="dxa" w:w="3419"/>
          </w:tcPr>
          <w:p>
            <w:r/>
            <w:r>
              <w:rPr>
                <w:rFonts w:ascii="Times New Roman" w:hAnsi="Times New Roman"/>
                <w:b/>
                <w:sz w:val="16"/>
              </w:rPr>
              <w:t>Detailed summary</w:t>
            </w:r>
          </w:p>
        </w:tc>
      </w:tr>
      <w:tr>
        <w:tc>
          <w:tcPr>
            <w:tcW w:type="dxa" w:w="3419"/>
          </w:tcPr>
          <w:p>
            <w:r/>
            <w:r>
              <w:rPr>
                <w:rFonts w:ascii="Times New Roman" w:hAnsi="Times New Roman"/>
                <w:b w:val="0"/>
                <w:sz w:val="16"/>
              </w:rPr>
              <w:t>800</w:t>
            </w:r>
          </w:p>
        </w:tc>
        <w:tc>
          <w:tcPr>
            <w:tcW w:type="dxa" w:w="3419"/>
          </w:tcPr>
          <w:p>
            <w:r/>
            <w:r>
              <w:rPr>
                <w:rFonts w:ascii="Times New Roman" w:hAnsi="Times New Roman"/>
                <w:b w:val="0"/>
                <w:sz w:val="16"/>
              </w:rPr>
              <w:t>6.8 s, 361 chars</w:t>
            </w:r>
          </w:p>
        </w:tc>
        <w:tc>
          <w:tcPr>
            <w:tcW w:type="dxa" w:w="3419"/>
          </w:tcPr>
          <w:p>
            <w:r/>
            <w:r>
              <w:rPr>
                <w:rFonts w:ascii="Times New Roman" w:hAnsi="Times New Roman"/>
                <w:b w:val="0"/>
                <w:sz w:val="16"/>
              </w:rPr>
              <w:t>3.6 s, 504 chars</w:t>
            </w:r>
          </w:p>
        </w:tc>
      </w:tr>
      <w:tr>
        <w:tc>
          <w:tcPr>
            <w:tcW w:type="dxa" w:w="3419"/>
          </w:tcPr>
          <w:p>
            <w:r/>
            <w:r>
              <w:rPr>
                <w:rFonts w:ascii="Times New Roman" w:hAnsi="Times New Roman"/>
                <w:b w:val="0"/>
                <w:sz w:val="16"/>
              </w:rPr>
              <w:t>1,500</w:t>
            </w:r>
          </w:p>
        </w:tc>
        <w:tc>
          <w:tcPr>
            <w:tcW w:type="dxa" w:w="3419"/>
          </w:tcPr>
          <w:p>
            <w:r/>
            <w:r>
              <w:rPr>
                <w:rFonts w:ascii="Times New Roman" w:hAnsi="Times New Roman"/>
                <w:b w:val="0"/>
                <w:sz w:val="16"/>
              </w:rPr>
              <w:t>9.6 s, 666 chars</w:t>
            </w:r>
          </w:p>
        </w:tc>
        <w:tc>
          <w:tcPr>
            <w:tcW w:type="dxa" w:w="3419"/>
          </w:tcPr>
          <w:p>
            <w:r/>
            <w:r>
              <w:rPr>
                <w:rFonts w:ascii="Times New Roman" w:hAnsi="Times New Roman"/>
                <w:b w:val="0"/>
                <w:sz w:val="16"/>
              </w:rPr>
              <w:t>32.7 s, empty</w:t>
            </w:r>
          </w:p>
        </w:tc>
      </w:tr>
      <w:tr>
        <w:tc>
          <w:tcPr>
            <w:tcW w:type="dxa" w:w="3419"/>
          </w:tcPr>
          <w:p>
            <w:r/>
            <w:r>
              <w:rPr>
                <w:rFonts w:ascii="Times New Roman" w:hAnsi="Times New Roman"/>
                <w:b w:val="0"/>
                <w:sz w:val="16"/>
              </w:rPr>
              <w:t>3,000</w:t>
            </w:r>
          </w:p>
        </w:tc>
        <w:tc>
          <w:tcPr>
            <w:tcW w:type="dxa" w:w="3419"/>
          </w:tcPr>
          <w:p>
            <w:r/>
            <w:r>
              <w:rPr>
                <w:rFonts w:ascii="Times New Roman" w:hAnsi="Times New Roman"/>
                <w:b w:val="0"/>
                <w:sz w:val="16"/>
              </w:rPr>
              <w:t>32.8 s, no JSON</w:t>
            </w:r>
          </w:p>
        </w:tc>
        <w:tc>
          <w:tcPr>
            <w:tcW w:type="dxa" w:w="3419"/>
          </w:tcPr>
          <w:p>
            <w:r/>
            <w:r>
              <w:rPr>
                <w:rFonts w:ascii="Times New Roman" w:hAnsi="Times New Roman"/>
                <w:b w:val="0"/>
                <w:sz w:val="16"/>
              </w:rPr>
              <w:t>23.9 s, empty</w:t>
            </w:r>
          </w:p>
        </w:tc>
      </w:tr>
    </w:tbl>
    <w:p>
      <w:pPr>
        <w:spacing w:before="0" w:after="80"/>
        <w:jc w:val="both"/>
      </w:pPr>
      <w:r>
        <w:rPr>
          <w:rFonts w:ascii="Times New Roman" w:hAnsi="Times New Roman"/>
          <w:b w:val="0"/>
          <w:i w:val="0"/>
          <w:sz w:val="8"/>
        </w:rPr>
        <w:t xml:space="preserve"> </w:t>
      </w:r>
    </w:p>
    <w:p>
      <w:pPr>
        <w:spacing w:before="0" w:after="120"/>
        <w:jc w:val="both"/>
      </w:pPr>
      <w:r>
        <w:rPr>
          <w:rFonts w:ascii="Times New Roman" w:hAnsi="Times New Roman"/>
          <w:b w:val="0"/>
          <w:i w:val="0"/>
          <w:sz w:val="20"/>
        </w:rPr>
        <w:t>Beyond roughly 800 characters the model exhausted its budget before emitting parseable output. Text supplied to factors and summarisers is bounded at 900 characters accordingly — still four to five times the news API's snippet. This is a property of the deployed model rather than of the architecture, and the bound is configuration.</w:t>
      </w:r>
    </w:p>
    <w:p>
      <w:pPr>
        <w:spacing w:before="160" w:after="60"/>
        <w:jc w:val="both"/>
      </w:pPr>
      <w:r>
        <w:rPr>
          <w:rFonts w:ascii="Times New Roman" w:hAnsi="Times New Roman"/>
          <w:b w:val="0"/>
          <w:i/>
          <w:sz w:val="20"/>
        </w:rPr>
        <w:t>7.5 Degradation</w:t>
      </w:r>
    </w:p>
    <w:p>
      <w:pPr>
        <w:spacing w:before="0" w:after="120"/>
        <w:jc w:val="both"/>
      </w:pPr>
      <w:r>
        <w:rPr>
          <w:rFonts w:ascii="Times New Roman" w:hAnsi="Times New Roman"/>
          <w:b w:val="0"/>
          <w:i w:val="0"/>
          <w:sz w:val="20"/>
        </w:rPr>
        <w:t>The deterministic fallback was evaluated with the language model made unreachable:</w:t>
      </w:r>
    </w:p>
    <w:tbl>
      <w:tblPr>
        <w:tblStyle w:val="TableGrid"/>
        <w:tblW w:type="auto" w:w="0"/>
        <w:tblLook w:firstColumn="1" w:firstRow="1" w:lastColumn="0" w:lastRow="0" w:noHBand="0" w:noVBand="1" w:val="04A0"/>
      </w:tblPr>
      <w:tblGrid>
        <w:gridCol w:w="3419"/>
        <w:gridCol w:w="3419"/>
        <w:gridCol w:w="3419"/>
      </w:tblGrid>
      <w:tr>
        <w:tc>
          <w:tcPr>
            <w:tcW w:type="dxa" w:w="3419"/>
          </w:tcPr>
          <w:p>
            <w:r/>
            <w:r>
              <w:rPr>
                <w:rFonts w:ascii="Times New Roman" w:hAnsi="Times New Roman"/>
                <w:b/>
                <w:sz w:val="16"/>
              </w:rPr>
              <w:t>Article</w:t>
            </w:r>
          </w:p>
        </w:tc>
        <w:tc>
          <w:tcPr>
            <w:tcW w:type="dxa" w:w="3419"/>
          </w:tcPr>
          <w:p>
            <w:r/>
            <w:r>
              <w:rPr>
                <w:rFonts w:ascii="Times New Roman" w:hAnsi="Times New Roman"/>
                <w:b/>
                <w:sz w:val="16"/>
              </w:rPr>
              <w:t>Score, zero model calls</w:t>
            </w:r>
          </w:p>
        </w:tc>
        <w:tc>
          <w:tcPr>
            <w:tcW w:type="dxa" w:w="3419"/>
          </w:tcPr>
          <w:p>
            <w:r/>
            <w:r>
              <w:rPr>
                <w:rFonts w:ascii="Times New Roman" w:hAnsi="Times New Roman"/>
                <w:b/>
                <w:sz w:val="16"/>
              </w:rPr>
              <w:t>Verdict</w:t>
            </w:r>
          </w:p>
        </w:tc>
      </w:tr>
      <w:tr>
        <w:tc>
          <w:tcPr>
            <w:tcW w:type="dxa" w:w="3419"/>
          </w:tcPr>
          <w:p>
            <w:r/>
            <w:r>
              <w:rPr>
                <w:rFonts w:ascii="Times New Roman" w:hAnsi="Times New Roman"/>
                <w:b w:val="0"/>
                <w:sz w:val="16"/>
              </w:rPr>
              <w:t>Fabricated, loaded language, unattributable sourcing</w:t>
            </w:r>
          </w:p>
        </w:tc>
        <w:tc>
          <w:tcPr>
            <w:tcW w:type="dxa" w:w="3419"/>
          </w:tcPr>
          <w:p>
            <w:r/>
            <w:r>
              <w:rPr>
                <w:rFonts w:ascii="Times New Roman" w:hAnsi="Times New Roman"/>
                <w:b w:val="0"/>
                <w:sz w:val="16"/>
              </w:rPr>
              <w:t>2.3 / 10</w:t>
            </w:r>
          </w:p>
        </w:tc>
        <w:tc>
          <w:tcPr>
            <w:tcW w:type="dxa" w:w="3419"/>
          </w:tcPr>
          <w:p>
            <w:r/>
            <w:r>
              <w:rPr>
                <w:rFonts w:ascii="Times New Roman" w:hAnsi="Times New Roman"/>
                <w:b w:val="0"/>
                <w:sz w:val="16"/>
              </w:rPr>
              <w:t>Be skeptical</w:t>
            </w:r>
          </w:p>
        </w:tc>
      </w:tr>
      <w:tr>
        <w:tc>
          <w:tcPr>
            <w:tcW w:type="dxa" w:w="3419"/>
          </w:tcPr>
          <w:p>
            <w:r/>
            <w:r>
              <w:rPr>
                <w:rFonts w:ascii="Times New Roman" w:hAnsi="Times New Roman"/>
                <w:b w:val="0"/>
                <w:sz w:val="16"/>
              </w:rPr>
              <w:t>Ordinary attributed reporting</w:t>
            </w:r>
          </w:p>
        </w:tc>
        <w:tc>
          <w:tcPr>
            <w:tcW w:type="dxa" w:w="3419"/>
          </w:tcPr>
          <w:p>
            <w:r/>
            <w:r>
              <w:rPr>
                <w:rFonts w:ascii="Times New Roman" w:hAnsi="Times New Roman"/>
                <w:b w:val="0"/>
                <w:sz w:val="16"/>
              </w:rPr>
              <w:t>9.8 / 10</w:t>
            </w:r>
          </w:p>
        </w:tc>
        <w:tc>
          <w:tcPr>
            <w:tcW w:type="dxa" w:w="3419"/>
          </w:tcPr>
          <w:p>
            <w:r/>
            <w:r>
              <w:rPr>
                <w:rFonts w:ascii="Times New Roman" w:hAnsi="Times New Roman"/>
                <w:b w:val="0"/>
                <w:sz w:val="16"/>
              </w:rPr>
              <w:t>Looks trustworthy</w:t>
            </w:r>
          </w:p>
        </w:tc>
      </w:tr>
    </w:tbl>
    <w:p>
      <w:pPr>
        <w:spacing w:before="0" w:after="80"/>
        <w:jc w:val="both"/>
      </w:pPr>
      <w:r>
        <w:rPr>
          <w:rFonts w:ascii="Times New Roman" w:hAnsi="Times New Roman"/>
          <w:b w:val="0"/>
          <w:i w:val="0"/>
          <w:sz w:val="8"/>
        </w:rPr>
        <w:t xml:space="preserve"> </w:t>
      </w:r>
    </w:p>
    <w:p>
      <w:pPr>
        <w:spacing w:before="0" w:after="120"/>
        <w:jc w:val="both"/>
      </w:pPr>
      <w:r>
        <w:rPr>
          <w:rFonts w:ascii="Times New Roman" w:hAnsi="Times New Roman"/>
          <w:b w:val="0"/>
          <w:i w:val="0"/>
          <w:sz w:val="20"/>
        </w:rPr>
        <w:t>The degraded system retains useful separation. It detected loaded language, name-calling, bandwagon and appeal-to-fear, and quoted four unattributable phrases.</w:t>
      </w:r>
    </w:p>
    <w:p>
      <w:pPr>
        <w:spacing w:before="0" w:after="120"/>
        <w:jc w:val="both"/>
      </w:pPr>
      <w:r>
        <w:rPr>
          <w:rFonts w:ascii="Times New Roman" w:hAnsi="Times New Roman"/>
          <w:b w:val="0"/>
          <w:i w:val="0"/>
          <w:sz w:val="20"/>
        </w:rPr>
        <w:t>This section also records a defect found during Phase II and corrected. Four content factors previously answered a failed model call with a neutral score of 5/10 and a failed flag that the aggregator did not read. A total outage therefore produced a confident "Mostly fine ≈5.5/10" report assembled from four placeholders, indistinguishable at the interface from a completed analysis. This is the concrete instance of gap 5 in Section 3.</w:t>
      </w:r>
    </w:p>
    <w:p>
      <w:pPr>
        <w:spacing w:before="160" w:after="60"/>
        <w:jc w:val="both"/>
      </w:pPr>
      <w:r>
        <w:rPr>
          <w:rFonts w:ascii="Times New Roman" w:hAnsi="Times New Roman"/>
          <w:b w:val="0"/>
          <w:i/>
          <w:sz w:val="20"/>
        </w:rPr>
        <w:t>7.6 Adversarial benchmark</w:t>
      </w:r>
    </w:p>
    <w:p>
      <w:pPr>
        <w:spacing w:before="0" w:after="120"/>
        <w:jc w:val="both"/>
      </w:pPr>
      <w:r>
        <w:rPr>
          <w:rFonts w:ascii="Times New Roman" w:hAnsi="Times New Roman"/>
          <w:b w:val="0"/>
          <w:i w:val="0"/>
          <w:sz w:val="20"/>
        </w:rPr>
        <w:t>ISOT cannot test the failure this work addresses. Its fabrications are conspicuously crude, so any system scoring style performs well on it while remaining open to a competent fake — which is why a pipeline reporting 94.7% on ISOT simultaneously rated invented articles at 7.3 out of 10. The benchmark supplies the missing case: ten items, five fabrications written in plain newsroom register with named sources and no clickbait, one high-impact fabrication with manipulation signals, two genuine reports, one satirical piece and one commentary. Each is scored twice from identical factor outputs — once under the legacy additive rule with abstention redistribution, once under the current one.</w:t>
      </w:r>
    </w:p>
    <w:tbl>
      <w:tblPr>
        <w:tblStyle w:val="TableGrid"/>
        <w:tblW w:type="auto" w:w="0"/>
        <w:tblLook w:firstColumn="1" w:firstRow="1" w:lastColumn="0" w:lastRow="0" w:noHBand="0" w:noVBand="1" w:val="04A0"/>
      </w:tblPr>
      <w:tblGrid>
        <w:gridCol w:w="3419"/>
        <w:gridCol w:w="3419"/>
        <w:gridCol w:w="3419"/>
      </w:tblGrid>
      <w:tr>
        <w:tc>
          <w:tcPr>
            <w:tcW w:type="dxa" w:w="3419"/>
          </w:tcPr>
          <w:p>
            <w:r/>
            <w:r>
              <w:rPr>
                <w:rFonts w:ascii="Times New Roman" w:hAnsi="Times New Roman"/>
                <w:b/>
                <w:sz w:val="16"/>
              </w:rPr>
              <w:t>Measure</w:t>
            </w:r>
          </w:p>
        </w:tc>
        <w:tc>
          <w:tcPr>
            <w:tcW w:type="dxa" w:w="3419"/>
          </w:tcPr>
          <w:p>
            <w:r/>
            <w:r>
              <w:rPr>
                <w:rFonts w:ascii="Times New Roman" w:hAnsi="Times New Roman"/>
                <w:b/>
                <w:sz w:val="16"/>
              </w:rPr>
              <w:t>Legacy</w:t>
            </w:r>
          </w:p>
        </w:tc>
        <w:tc>
          <w:tcPr>
            <w:tcW w:type="dxa" w:w="3419"/>
          </w:tcPr>
          <w:p>
            <w:r/>
            <w:r>
              <w:rPr>
                <w:rFonts w:ascii="Times New Roman" w:hAnsi="Times New Roman"/>
                <w:b/>
                <w:sz w:val="16"/>
              </w:rPr>
              <w:t>Current</w:t>
            </w:r>
          </w:p>
        </w:tc>
      </w:tr>
      <w:tr>
        <w:tc>
          <w:tcPr>
            <w:tcW w:type="dxa" w:w="3419"/>
          </w:tcPr>
          <w:p>
            <w:r/>
            <w:r>
              <w:rPr>
                <w:rFonts w:ascii="Times New Roman" w:hAnsi="Times New Roman"/>
                <w:b w:val="0"/>
                <w:sz w:val="16"/>
              </w:rPr>
              <w:t>Deceptive items presented as credible</w:t>
            </w:r>
          </w:p>
        </w:tc>
        <w:tc>
          <w:tcPr>
            <w:tcW w:type="dxa" w:w="3419"/>
          </w:tcPr>
          <w:p>
            <w:r/>
            <w:r>
              <w:rPr>
                <w:rFonts w:ascii="Times New Roman" w:hAnsi="Times New Roman"/>
                <w:b w:val="0"/>
                <w:sz w:val="16"/>
              </w:rPr>
              <w:t>4 / 6</w:t>
            </w:r>
          </w:p>
        </w:tc>
        <w:tc>
          <w:tcPr>
            <w:tcW w:type="dxa" w:w="3419"/>
          </w:tcPr>
          <w:p>
            <w:r/>
            <w:r>
              <w:rPr>
                <w:rFonts w:ascii="Times New Roman" w:hAnsi="Times New Roman"/>
                <w:b w:val="0"/>
                <w:sz w:val="16"/>
              </w:rPr>
              <w:t>0 / 6</w:t>
            </w:r>
          </w:p>
        </w:tc>
      </w:tr>
      <w:tr>
        <w:tc>
          <w:tcPr>
            <w:tcW w:type="dxa" w:w="3419"/>
          </w:tcPr>
          <w:p>
            <w:r/>
            <w:r>
              <w:rPr>
                <w:rFonts w:ascii="Times New Roman" w:hAnsi="Times New Roman"/>
                <w:b w:val="0"/>
                <w:sz w:val="16"/>
              </w:rPr>
              <w:t>Verdict matched expectation</w:t>
            </w:r>
          </w:p>
        </w:tc>
        <w:tc>
          <w:tcPr>
            <w:tcW w:type="dxa" w:w="3419"/>
          </w:tcPr>
          <w:p>
            <w:r/>
            <w:r>
              <w:rPr>
                <w:rFonts w:ascii="Times New Roman" w:hAnsi="Times New Roman"/>
                <w:b w:val="0"/>
                <w:sz w:val="16"/>
              </w:rPr>
              <w:t>—</w:t>
            </w:r>
          </w:p>
        </w:tc>
        <w:tc>
          <w:tcPr>
            <w:tcW w:type="dxa" w:w="3419"/>
          </w:tcPr>
          <w:p>
            <w:r/>
            <w:r>
              <w:rPr>
                <w:rFonts w:ascii="Times New Roman" w:hAnsi="Times New Roman"/>
                <w:b w:val="0"/>
                <w:sz w:val="16"/>
              </w:rPr>
              <w:t>6 / 6</w:t>
            </w:r>
          </w:p>
        </w:tc>
      </w:tr>
      <w:tr>
        <w:tc>
          <w:tcPr>
            <w:tcW w:type="dxa" w:w="3419"/>
          </w:tcPr>
          <w:p>
            <w:r/>
            <w:r>
              <w:rPr>
                <w:rFonts w:ascii="Times New Roman" w:hAnsi="Times New Roman"/>
                <w:b w:val="0"/>
                <w:sz w:val="16"/>
              </w:rPr>
              <w:t>Genuine articles wrongly condemned</w:t>
            </w:r>
          </w:p>
        </w:tc>
        <w:tc>
          <w:tcPr>
            <w:tcW w:type="dxa" w:w="3419"/>
          </w:tcPr>
          <w:p>
            <w:r/>
            <w:r>
              <w:rPr>
                <w:rFonts w:ascii="Times New Roman" w:hAnsi="Times New Roman"/>
                <w:b w:val="0"/>
                <w:sz w:val="16"/>
              </w:rPr>
              <w:t>—</w:t>
            </w:r>
          </w:p>
        </w:tc>
        <w:tc>
          <w:tcPr>
            <w:tcW w:type="dxa" w:w="3419"/>
          </w:tcPr>
          <w:p>
            <w:r/>
            <w:r>
              <w:rPr>
                <w:rFonts w:ascii="Times New Roman" w:hAnsi="Times New Roman"/>
                <w:b w:val="0"/>
                <w:sz w:val="16"/>
              </w:rPr>
              <w:t>0 / 2</w:t>
            </w:r>
          </w:p>
        </w:tc>
      </w:tr>
      <w:tr>
        <w:tc>
          <w:tcPr>
            <w:tcW w:type="dxa" w:w="3419"/>
          </w:tcPr>
          <w:p>
            <w:r/>
            <w:r>
              <w:rPr>
                <w:rFonts w:ascii="Times New Roman" w:hAnsi="Times New Roman"/>
                <w:b w:val="0"/>
                <w:sz w:val="16"/>
              </w:rPr>
              <w:t>Mean legacy score of the fabrications</w:t>
            </w:r>
          </w:p>
        </w:tc>
        <w:tc>
          <w:tcPr>
            <w:tcW w:type="dxa" w:w="3419"/>
          </w:tcPr>
          <w:p>
            <w:r/>
            <w:r>
              <w:rPr>
                <w:rFonts w:ascii="Times New Roman" w:hAnsi="Times New Roman"/>
                <w:b w:val="0"/>
                <w:sz w:val="16"/>
              </w:rPr>
              <w:t>7.3 / 10</w:t>
            </w:r>
          </w:p>
        </w:tc>
        <w:tc>
          <w:tcPr>
            <w:tcW w:type="dxa" w:w="3419"/>
          </w:tcPr>
          <w:p>
            <w:r/>
            <w:r>
              <w:rPr>
                <w:rFonts w:ascii="Times New Roman" w:hAnsi="Times New Roman"/>
                <w:b w:val="0"/>
                <w:sz w:val="16"/>
              </w:rPr>
              <w:t>unchanged</w:t>
            </w:r>
          </w:p>
        </w:tc>
      </w:tr>
    </w:tbl>
    <w:p>
      <w:pPr>
        <w:spacing w:before="0" w:after="80"/>
        <w:jc w:val="both"/>
      </w:pPr>
      <w:r>
        <w:rPr>
          <w:rFonts w:ascii="Times New Roman" w:hAnsi="Times New Roman"/>
          <w:b w:val="0"/>
          <w:i w:val="0"/>
          <w:sz w:val="8"/>
        </w:rPr>
        <w:t xml:space="preserve"> </w:t>
      </w:r>
    </w:p>
    <w:p>
      <w:pPr>
        <w:spacing w:before="0" w:after="120"/>
        <w:jc w:val="both"/>
      </w:pPr>
      <w:r>
        <w:rPr>
          <w:rFonts w:ascii="Times New Roman" w:hAnsi="Times New Roman"/>
          <w:b w:val="0"/>
          <w:i w:val="0"/>
          <w:sz w:val="20"/>
        </w:rPr>
        <w:t>The last row is the finding. The fabrications still read as trustworthy and always will; what changed is that reading well no longer determines the answer.</w:t>
      </w:r>
    </w:p>
    <w:p>
      <w:pPr>
        <w:spacing w:before="0" w:after="120"/>
        <w:jc w:val="both"/>
      </w:pPr>
      <w:r>
        <w:rPr>
          <w:rFonts w:ascii="Times New Roman" w:hAnsi="Times New Roman"/>
          <w:b w:val="0"/>
          <w:i w:val="0"/>
          <w:sz w:val="20"/>
        </w:rPr>
        <w:t>Two limitations are material. The genuine items are written by us, as the fabrications must be, which makes the false-positive figure weaker than the false-negative one; --live-genuine substitutes current articles from the feed for exactly this reason. And ten items is a demonstration, not a population estimate.</w:t>
      </w:r>
    </w:p>
    <w:p>
      <w:pPr>
        <w:spacing w:before="160" w:after="60"/>
        <w:jc w:val="both"/>
      </w:pPr>
      <w:r>
        <w:rPr>
          <w:rFonts w:ascii="Times New Roman" w:hAnsi="Times New Roman"/>
          <w:b w:val="0"/>
          <w:i/>
          <w:sz w:val="20"/>
        </w:rPr>
        <w:t>7.7 Evidence grounding</w:t>
      </w:r>
    </w:p>
    <w:p>
      <w:pPr>
        <w:spacing w:before="0" w:after="120"/>
        <w:jc w:val="both"/>
      </w:pPr>
      <w:r>
        <w:rPr>
          <w:rFonts w:ascii="Times New Roman" w:hAnsi="Times New Roman"/>
          <w:b w:val="0"/>
          <w:i w:val="0"/>
          <w:sz w:val="20"/>
        </w:rPr>
        <w:t>Because every factor quotes the article, its output is directly checkable. On a hand-constructed article containing both verifiable facts and deliberately loaded wording, all nine spans quoted by the system — four flagged sentences, three persuasion techniques with their quotations, one unattributable phrase, and the named sources — were present verbatim. The transparency checklist passed four of its five checks and failed claims are measured, correctly attributing the failure to the sentence "Everyone knows parking is already impossible downtown." Cross-source verification abstained, as the article does not exist.</w:t>
      </w:r>
    </w:p>
    <w:p>
      <w:pPr>
        <w:spacing w:before="0" w:after="120"/>
        <w:jc w:val="both"/>
      </w:pPr>
      <w:r>
        <w:rPr>
          <w:rFonts w:ascii="Times New Roman" w:hAnsi="Times New Roman"/>
          <w:b w:val="0"/>
          <w:i w:val="0"/>
          <w:sz w:val="20"/>
        </w:rPr>
        <w:t>A live-news verification study with manual annotation of verdict correctness (target: 30 claims, reporting coverage rate and verdict precision) is outstanding.</w:t>
      </w:r>
    </w:p>
    <w:p>
      <w:pPr>
        <w:spacing w:before="160" w:after="60"/>
        <w:jc w:val="both"/>
      </w:pPr>
      <w:r>
        <w:rPr>
          <w:rFonts w:ascii="Times New Roman" w:hAnsi="Times New Roman"/>
          <w:b w:val="0"/>
          <w:i/>
          <w:sz w:val="20"/>
        </w:rPr>
        <w:t>7.8 System behaviour</w:t>
      </w:r>
    </w:p>
    <w:p>
      <w:pPr>
        <w:spacing w:before="0" w:after="120"/>
        <w:jc w:val="both"/>
      </w:pPr>
      <w:r>
        <w:rPr>
          <w:rFonts w:ascii="Times New Roman" w:hAnsi="Times New Roman"/>
          <w:b w:val="0"/>
          <w:i w:val="0"/>
          <w:sz w:val="20"/>
        </w:rPr>
        <w:t>Measured on the deployed system:</w:t>
      </w:r>
    </w:p>
    <w:tbl>
      <w:tblPr>
        <w:tblStyle w:val="TableGrid"/>
        <w:tblW w:type="auto" w:w="0"/>
        <w:tblLook w:firstColumn="1" w:firstRow="1" w:lastColumn="0" w:lastRow="0" w:noHBand="0" w:noVBand="1" w:val="04A0"/>
      </w:tblPr>
      <w:tblGrid>
        <w:gridCol w:w="3419"/>
        <w:gridCol w:w="3419"/>
        <w:gridCol w:w="3419"/>
      </w:tblGrid>
      <w:tr>
        <w:tc>
          <w:tcPr>
            <w:tcW w:type="dxa" w:w="3419"/>
          </w:tcPr>
          <w:p>
            <w:r/>
            <w:r>
              <w:rPr>
                <w:rFonts w:ascii="Times New Roman" w:hAnsi="Times New Roman"/>
                <w:b/>
                <w:sz w:val="16"/>
              </w:rPr>
              <w:t>Property</w:t>
            </w:r>
          </w:p>
        </w:tc>
        <w:tc>
          <w:tcPr>
            <w:tcW w:type="dxa" w:w="3419"/>
          </w:tcPr>
          <w:p>
            <w:r/>
            <w:r>
              <w:rPr>
                <w:rFonts w:ascii="Times New Roman" w:hAnsi="Times New Roman"/>
                <w:b/>
                <w:sz w:val="16"/>
              </w:rPr>
              <w:t>Phase I</w:t>
            </w:r>
          </w:p>
        </w:tc>
        <w:tc>
          <w:tcPr>
            <w:tcW w:type="dxa" w:w="3419"/>
          </w:tcPr>
          <w:p>
            <w:r/>
            <w:r>
              <w:rPr>
                <w:rFonts w:ascii="Times New Roman" w:hAnsi="Times New Roman"/>
                <w:b/>
                <w:sz w:val="16"/>
              </w:rPr>
              <w:t>Current</w:t>
            </w:r>
          </w:p>
        </w:tc>
      </w:tr>
      <w:tr>
        <w:tc>
          <w:tcPr>
            <w:tcW w:type="dxa" w:w="3419"/>
          </w:tcPr>
          <w:p>
            <w:r/>
            <w:r>
              <w:rPr>
                <w:rFonts w:ascii="Times New Roman" w:hAnsi="Times New Roman"/>
                <w:b w:val="0"/>
                <w:sz w:val="16"/>
              </w:rPr>
              <w:t>Cold analysis, one article</w:t>
            </w:r>
          </w:p>
        </w:tc>
        <w:tc>
          <w:tcPr>
            <w:tcW w:type="dxa" w:w="3419"/>
          </w:tcPr>
          <w:p>
            <w:r/>
            <w:r>
              <w:rPr>
                <w:rFonts w:ascii="Times New Roman" w:hAnsi="Times New Roman"/>
                <w:b w:val="0"/>
                <w:sz w:val="16"/>
              </w:rPr>
              <w:t>~60 s (to 116 s under congestion)</w:t>
            </w:r>
          </w:p>
        </w:tc>
        <w:tc>
          <w:tcPr>
            <w:tcW w:type="dxa" w:w="3419"/>
          </w:tcPr>
          <w:p>
            <w:r/>
            <w:r>
              <w:rPr>
                <w:rFonts w:ascii="Times New Roman" w:hAnsi="Times New Roman"/>
                <w:b w:val="0"/>
                <w:sz w:val="16"/>
              </w:rPr>
              <w:t>11–19 s</w:t>
            </w:r>
          </w:p>
        </w:tc>
      </w:tr>
      <w:tr>
        <w:tc>
          <w:tcPr>
            <w:tcW w:type="dxa" w:w="3419"/>
          </w:tcPr>
          <w:p>
            <w:r/>
            <w:r>
              <w:rPr>
                <w:rFonts w:ascii="Times New Roman" w:hAnsi="Times New Roman"/>
                <w:b w:val="0"/>
                <w:sz w:val="16"/>
              </w:rPr>
              <w:t>Cached analysis</w:t>
            </w:r>
          </w:p>
        </w:tc>
        <w:tc>
          <w:tcPr>
            <w:tcW w:type="dxa" w:w="3419"/>
          </w:tcPr>
          <w:p>
            <w:r/>
            <w:r>
              <w:rPr>
                <w:rFonts w:ascii="Times New Roman" w:hAnsi="Times New Roman"/>
                <w:b w:val="0"/>
                <w:sz w:val="16"/>
              </w:rPr>
              <w:t>full recomputation</w:t>
            </w:r>
          </w:p>
        </w:tc>
        <w:tc>
          <w:tcPr>
            <w:tcW w:type="dxa" w:w="3419"/>
          </w:tcPr>
          <w:p>
            <w:r/>
            <w:r>
              <w:rPr>
                <w:rFonts w:ascii="Times New Roman" w:hAnsi="Times New Roman"/>
                <w:b w:val="0"/>
                <w:sz w:val="16"/>
              </w:rPr>
              <w:t>~5 ms</w:t>
            </w:r>
          </w:p>
        </w:tc>
      </w:tr>
      <w:tr>
        <w:tc>
          <w:tcPr>
            <w:tcW w:type="dxa" w:w="3419"/>
          </w:tcPr>
          <w:p>
            <w:r/>
            <w:r>
              <w:rPr>
                <w:rFonts w:ascii="Times New Roman" w:hAnsi="Times New Roman"/>
                <w:b w:val="0"/>
                <w:sz w:val="16"/>
              </w:rPr>
              <w:t>First factor visible to the reader</w:t>
            </w:r>
          </w:p>
        </w:tc>
        <w:tc>
          <w:tcPr>
            <w:tcW w:type="dxa" w:w="3419"/>
          </w:tcPr>
          <w:p>
            <w:r/>
            <w:r>
              <w:rPr>
                <w:rFonts w:ascii="Times New Roman" w:hAnsi="Times New Roman"/>
                <w:b w:val="0"/>
                <w:sz w:val="16"/>
              </w:rPr>
              <w:t>on completion</w:t>
            </w:r>
          </w:p>
        </w:tc>
        <w:tc>
          <w:tcPr>
            <w:tcW w:type="dxa" w:w="3419"/>
          </w:tcPr>
          <w:p>
            <w:r/>
            <w:r>
              <w:rPr>
                <w:rFonts w:ascii="Times New Roman" w:hAnsi="Times New Roman"/>
                <w:b w:val="0"/>
                <w:sz w:val="16"/>
              </w:rPr>
              <w:t>&lt; 1 s</w:t>
            </w:r>
          </w:p>
        </w:tc>
      </w:tr>
      <w:tr>
        <w:tc>
          <w:tcPr>
            <w:tcW w:type="dxa" w:w="3419"/>
          </w:tcPr>
          <w:p>
            <w:r/>
            <w:r>
              <w:rPr>
                <w:rFonts w:ascii="Times New Roman" w:hAnsi="Times New Roman"/>
                <w:b w:val="0"/>
                <w:sz w:val="16"/>
              </w:rPr>
              <w:t>Automated backend tests passing</w:t>
            </w:r>
          </w:p>
        </w:tc>
        <w:tc>
          <w:tcPr>
            <w:tcW w:type="dxa" w:w="3419"/>
          </w:tcPr>
          <w:p>
            <w:r/>
            <w:r>
              <w:rPr>
                <w:rFonts w:ascii="Times New Roman" w:hAnsi="Times New Roman"/>
                <w:b w:val="0"/>
                <w:sz w:val="16"/>
              </w:rPr>
              <w:t>—</w:t>
            </w:r>
          </w:p>
        </w:tc>
        <w:tc>
          <w:tcPr>
            <w:tcW w:type="dxa" w:w="3419"/>
          </w:tcPr>
          <w:p>
            <w:r/>
            <w:r>
              <w:rPr>
                <w:rFonts w:ascii="Times New Roman" w:hAnsi="Times New Roman"/>
                <w:b w:val="0"/>
                <w:sz w:val="16"/>
              </w:rPr>
              <w:t>124 / 124</w:t>
            </w:r>
          </w:p>
        </w:tc>
      </w:tr>
    </w:tbl>
    <w:p>
      <w:pPr>
        <w:spacing w:before="0" w:after="80"/>
        <w:jc w:val="both"/>
      </w:pPr>
      <w:r>
        <w:rPr>
          <w:rFonts w:ascii="Times New Roman" w:hAnsi="Times New Roman"/>
          <w:b w:val="0"/>
          <w:i w:val="0"/>
          <w:sz w:val="8"/>
        </w:rPr>
        <w:t xml:space="preserve"> </w:t>
      </w:r>
    </w:p>
    <w:p>
      <w:pPr>
        <w:spacing w:before="0" w:after="120"/>
        <w:jc w:val="both"/>
      </w:pPr>
      <w:r>
        <w:rPr>
          <w:rFonts w:ascii="Times New Roman" w:hAnsi="Times New Roman"/>
          <w:b w:val="0"/>
          <w:i w:val="0"/>
          <w:sz w:val="20"/>
        </w:rPr>
        <w:t>Provider comparison, three structured tasks, three runs each:</w:t>
      </w:r>
    </w:p>
    <w:tbl>
      <w:tblPr>
        <w:tblStyle w:val="TableGrid"/>
        <w:tblW w:type="auto" w:w="0"/>
        <w:tblLook w:firstColumn="1" w:firstRow="1" w:lastColumn="0" w:lastRow="0" w:noHBand="0" w:noVBand="1" w:val="04A0"/>
      </w:tblPr>
      <w:tblGrid>
        <w:gridCol w:w="3419"/>
        <w:gridCol w:w="3419"/>
        <w:gridCol w:w="3419"/>
      </w:tblGrid>
      <w:tr>
        <w:tc>
          <w:tcPr>
            <w:tcW w:type="dxa" w:w="3419"/>
          </w:tcPr>
          <w:p>
            <w:r/>
            <w:r>
              <w:rPr>
                <w:rFonts w:ascii="Times New Roman" w:hAnsi="Times New Roman"/>
                <w:b/>
                <w:sz w:val="16"/>
              </w:rPr>
              <w:t>Task</w:t>
            </w:r>
          </w:p>
        </w:tc>
        <w:tc>
          <w:tcPr>
            <w:tcW w:type="dxa" w:w="3419"/>
          </w:tcPr>
          <w:p>
            <w:r/>
            <w:r>
              <w:rPr>
                <w:rFonts w:ascii="Times New Roman" w:hAnsi="Times New Roman"/>
                <w:b/>
                <w:sz w:val="16"/>
              </w:rPr>
              <w:t>NVIDIA NIM (nemotron-3-super-120b)</w:t>
            </w:r>
          </w:p>
        </w:tc>
        <w:tc>
          <w:tcPr>
            <w:tcW w:type="dxa" w:w="3419"/>
          </w:tcPr>
          <w:p>
            <w:r/>
            <w:r>
              <w:rPr>
                <w:rFonts w:ascii="Times New Roman" w:hAnsi="Times New Roman"/>
                <w:b/>
                <w:sz w:val="16"/>
              </w:rPr>
              <w:t>Google Gemini (gemini-3.1-flash-lite)</w:t>
            </w:r>
          </w:p>
        </w:tc>
      </w:tr>
      <w:tr>
        <w:tc>
          <w:tcPr>
            <w:tcW w:type="dxa" w:w="3419"/>
          </w:tcPr>
          <w:p>
            <w:r/>
            <w:r>
              <w:rPr>
                <w:rFonts w:ascii="Times New Roman" w:hAnsi="Times New Roman"/>
                <w:b w:val="0"/>
                <w:sz w:val="16"/>
              </w:rPr>
              <w:t>Bias</w:t>
            </w:r>
          </w:p>
        </w:tc>
        <w:tc>
          <w:tcPr>
            <w:tcW w:type="dxa" w:w="3419"/>
          </w:tcPr>
          <w:p>
            <w:r/>
            <w:r>
              <w:rPr>
                <w:rFonts w:ascii="Times New Roman" w:hAnsi="Times New Roman"/>
                <w:b w:val="0"/>
                <w:sz w:val="16"/>
              </w:rPr>
              <w:t>3/3 valid, 6.2 s</w:t>
            </w:r>
          </w:p>
        </w:tc>
        <w:tc>
          <w:tcPr>
            <w:tcW w:type="dxa" w:w="3419"/>
          </w:tcPr>
          <w:p>
            <w:r/>
            <w:r>
              <w:rPr>
                <w:rFonts w:ascii="Times New Roman" w:hAnsi="Times New Roman"/>
                <w:b w:val="0"/>
                <w:sz w:val="16"/>
              </w:rPr>
              <w:t>3/3 valid, 3.8 s</w:t>
            </w:r>
          </w:p>
        </w:tc>
      </w:tr>
      <w:tr>
        <w:tc>
          <w:tcPr>
            <w:tcW w:type="dxa" w:w="3419"/>
          </w:tcPr>
          <w:p>
            <w:r/>
            <w:r>
              <w:rPr>
                <w:rFonts w:ascii="Times New Roman" w:hAnsi="Times New Roman"/>
                <w:b w:val="0"/>
                <w:sz w:val="16"/>
              </w:rPr>
              <w:t>Summary</w:t>
            </w:r>
          </w:p>
        </w:tc>
        <w:tc>
          <w:tcPr>
            <w:tcW w:type="dxa" w:w="3419"/>
          </w:tcPr>
          <w:p>
            <w:r/>
            <w:r>
              <w:rPr>
                <w:rFonts w:ascii="Times New Roman" w:hAnsi="Times New Roman"/>
                <w:b w:val="0"/>
                <w:sz w:val="16"/>
              </w:rPr>
              <w:t>2/3 valid, 3.5 s</w:t>
            </w:r>
          </w:p>
        </w:tc>
        <w:tc>
          <w:tcPr>
            <w:tcW w:type="dxa" w:w="3419"/>
          </w:tcPr>
          <w:p>
            <w:r/>
            <w:r>
              <w:rPr>
                <w:rFonts w:ascii="Times New Roman" w:hAnsi="Times New Roman"/>
                <w:b w:val="0"/>
                <w:sz w:val="16"/>
              </w:rPr>
              <w:t>3/3 valid, 1.6 s</w:t>
            </w:r>
          </w:p>
        </w:tc>
      </w:tr>
      <w:tr>
        <w:tc>
          <w:tcPr>
            <w:tcW w:type="dxa" w:w="3419"/>
          </w:tcPr>
          <w:p>
            <w:r/>
            <w:r>
              <w:rPr>
                <w:rFonts w:ascii="Times New Roman" w:hAnsi="Times New Roman"/>
                <w:b w:val="0"/>
                <w:sz w:val="16"/>
              </w:rPr>
              <w:t>Persuasion</w:t>
            </w:r>
          </w:p>
        </w:tc>
        <w:tc>
          <w:tcPr>
            <w:tcW w:type="dxa" w:w="3419"/>
          </w:tcPr>
          <w:p>
            <w:r/>
            <w:r>
              <w:rPr>
                <w:rFonts w:ascii="Times New Roman" w:hAnsi="Times New Roman"/>
                <w:b w:val="0"/>
                <w:sz w:val="16"/>
              </w:rPr>
              <w:t>1/3 valid, 10.5 s</w:t>
            </w:r>
          </w:p>
        </w:tc>
        <w:tc>
          <w:tcPr>
            <w:tcW w:type="dxa" w:w="3419"/>
          </w:tcPr>
          <w:p>
            <w:r/>
            <w:r>
              <w:rPr>
                <w:rFonts w:ascii="Times New Roman" w:hAnsi="Times New Roman"/>
                <w:b w:val="0"/>
                <w:sz w:val="16"/>
              </w:rPr>
              <w:t>3/3 valid, 4.6 s</w:t>
            </w:r>
          </w:p>
        </w:tc>
      </w:tr>
    </w:tbl>
    <w:p>
      <w:pPr>
        <w:spacing w:before="0" w:after="80"/>
        <w:jc w:val="both"/>
      </w:pPr>
      <w:r>
        <w:rPr>
          <w:rFonts w:ascii="Times New Roman" w:hAnsi="Times New Roman"/>
          <w:b w:val="0"/>
          <w:i w:val="0"/>
          <w:sz w:val="8"/>
        </w:rPr>
        <w:t xml:space="preserve"> </w:t>
      </w:r>
    </w:p>
    <w:p>
      <w:pPr>
        <w:spacing w:before="0" w:after="120"/>
        <w:jc w:val="both"/>
      </w:pPr>
      <w:r>
        <w:rPr>
          <w:rFonts w:ascii="Times New Roman" w:hAnsi="Times New Roman"/>
          <w:b w:val="0"/>
          <w:i w:val="0"/>
          <w:sz w:val="20"/>
        </w:rPr>
        <w:t>Concurrency tolerance is provider-specific, and assuming otherwise is costly. Six identical calls:</w:t>
      </w:r>
    </w:p>
    <w:tbl>
      <w:tblPr>
        <w:tblStyle w:val="TableGrid"/>
        <w:tblW w:type="auto" w:w="0"/>
        <w:tblLook w:firstColumn="1" w:firstRow="1" w:lastColumn="0" w:lastRow="0" w:noHBand="0" w:noVBand="1" w:val="04A0"/>
      </w:tblPr>
      <w:tblGrid>
        <w:gridCol w:w="3419"/>
        <w:gridCol w:w="3419"/>
        <w:gridCol w:w="3419"/>
      </w:tblGrid>
      <w:tr>
        <w:tc>
          <w:tcPr>
            <w:tcW w:type="dxa" w:w="3419"/>
          </w:tcPr>
          <w:p>
            <w:r/>
            <w:r>
              <w:rPr>
                <w:rFonts w:ascii="Times New Roman" w:hAnsi="Times New Roman"/>
                <w:b/>
                <w:sz w:val="16"/>
              </w:rPr>
              <w:t>Parallelism</w:t>
            </w:r>
          </w:p>
        </w:tc>
        <w:tc>
          <w:tcPr>
            <w:tcW w:type="dxa" w:w="3419"/>
          </w:tcPr>
          <w:p>
            <w:r/>
            <w:r>
              <w:rPr>
                <w:rFonts w:ascii="Times New Roman" w:hAnsi="Times New Roman"/>
                <w:b/>
                <w:sz w:val="16"/>
              </w:rPr>
              <w:t>NVIDIA NIM</w:t>
            </w:r>
          </w:p>
        </w:tc>
        <w:tc>
          <w:tcPr>
            <w:tcW w:type="dxa" w:w="3419"/>
          </w:tcPr>
          <w:p>
            <w:r/>
            <w:r>
              <w:rPr>
                <w:rFonts w:ascii="Times New Roman" w:hAnsi="Times New Roman"/>
                <w:b/>
                <w:sz w:val="16"/>
              </w:rPr>
              <w:t>Google Gemini</w:t>
            </w:r>
          </w:p>
        </w:tc>
      </w:tr>
      <w:tr>
        <w:tc>
          <w:tcPr>
            <w:tcW w:type="dxa" w:w="3419"/>
          </w:tcPr>
          <w:p>
            <w:r/>
            <w:r>
              <w:rPr>
                <w:rFonts w:ascii="Times New Roman" w:hAnsi="Times New Roman"/>
                <w:b w:val="0"/>
                <w:sz w:val="16"/>
              </w:rPr>
              <w:t>2</w:t>
            </w:r>
          </w:p>
        </w:tc>
        <w:tc>
          <w:tcPr>
            <w:tcW w:type="dxa" w:w="3419"/>
          </w:tcPr>
          <w:p>
            <w:r/>
            <w:r>
              <w:rPr>
                <w:rFonts w:ascii="Times New Roman" w:hAnsi="Times New Roman"/>
                <w:b w:val="0"/>
                <w:sz w:val="16"/>
              </w:rPr>
              <w:t>baseline</w:t>
            </w:r>
          </w:p>
        </w:tc>
        <w:tc>
          <w:tcPr>
            <w:tcW w:type="dxa" w:w="3419"/>
          </w:tcPr>
          <w:p>
            <w:r/>
            <w:r>
              <w:rPr>
                <w:rFonts w:ascii="Times New Roman" w:hAnsi="Times New Roman"/>
                <w:b w:val="0"/>
                <w:sz w:val="16"/>
              </w:rPr>
              <w:t>37.5 s</w:t>
            </w:r>
          </w:p>
        </w:tc>
      </w:tr>
      <w:tr>
        <w:tc>
          <w:tcPr>
            <w:tcW w:type="dxa" w:w="3419"/>
          </w:tcPr>
          <w:p>
            <w:r/>
            <w:r>
              <w:rPr>
                <w:rFonts w:ascii="Times New Roman" w:hAnsi="Times New Roman"/>
                <w:b w:val="0"/>
                <w:sz w:val="16"/>
              </w:rPr>
              <w:t>3</w:t>
            </w:r>
          </w:p>
        </w:tc>
        <w:tc>
          <w:tcPr>
            <w:tcW w:type="dxa" w:w="3419"/>
          </w:tcPr>
          <w:p>
            <w:r/>
            <w:r>
              <w:rPr>
                <w:rFonts w:ascii="Times New Roman" w:hAnsi="Times New Roman"/>
                <w:b w:val="0"/>
                <w:sz w:val="16"/>
              </w:rPr>
              <w:t>—</w:t>
            </w:r>
          </w:p>
        </w:tc>
        <w:tc>
          <w:tcPr>
            <w:tcW w:type="dxa" w:w="3419"/>
          </w:tcPr>
          <w:p>
            <w:r/>
            <w:r>
              <w:rPr>
                <w:rFonts w:ascii="Times New Roman" w:hAnsi="Times New Roman"/>
                <w:b w:val="0"/>
                <w:sz w:val="16"/>
              </w:rPr>
              <w:t>7.9 s</w:t>
            </w:r>
          </w:p>
        </w:tc>
      </w:tr>
      <w:tr>
        <w:tc>
          <w:tcPr>
            <w:tcW w:type="dxa" w:w="3419"/>
          </w:tcPr>
          <w:p>
            <w:r/>
            <w:r>
              <w:rPr>
                <w:rFonts w:ascii="Times New Roman" w:hAnsi="Times New Roman"/>
                <w:b w:val="0"/>
                <w:sz w:val="16"/>
              </w:rPr>
              <w:t>6</w:t>
            </w:r>
          </w:p>
        </w:tc>
        <w:tc>
          <w:tcPr>
            <w:tcW w:type="dxa" w:w="3419"/>
          </w:tcPr>
          <w:p>
            <w:r/>
            <w:r>
              <w:rPr>
                <w:rFonts w:ascii="Times New Roman" w:hAnsi="Times New Roman"/>
                <w:b w:val="0"/>
                <w:sz w:val="16"/>
              </w:rPr>
              <w:t>slower than 2</w:t>
            </w:r>
          </w:p>
        </w:tc>
        <w:tc>
          <w:tcPr>
            <w:tcW w:type="dxa" w:w="3419"/>
          </w:tcPr>
          <w:p>
            <w:r/>
            <w:r>
              <w:rPr>
                <w:rFonts w:ascii="Times New Roman" w:hAnsi="Times New Roman"/>
                <w:b w:val="0"/>
                <w:sz w:val="16"/>
              </w:rPr>
              <w:t>9.1 s</w:t>
            </w:r>
          </w:p>
        </w:tc>
      </w:tr>
    </w:tbl>
    <w:p>
      <w:pPr>
        <w:spacing w:before="0" w:after="80"/>
        <w:jc w:val="both"/>
      </w:pPr>
      <w:r>
        <w:rPr>
          <w:rFonts w:ascii="Times New Roman" w:hAnsi="Times New Roman"/>
          <w:b w:val="0"/>
          <w:i w:val="0"/>
          <w:sz w:val="8"/>
        </w:rPr>
        <w:t xml:space="preserve"> </w:t>
      </w:r>
    </w:p>
    <w:p>
      <w:pPr>
        <w:spacing w:before="0" w:after="120"/>
        <w:jc w:val="both"/>
      </w:pPr>
      <w:r>
        <w:rPr>
          <w:rFonts w:ascii="Times New Roman" w:hAnsi="Times New Roman"/>
          <w:b w:val="0"/>
          <w:i w:val="0"/>
          <w:sz w:val="20"/>
        </w:rPr>
        <w:t>The gateway therefore takes its concurrency limit from the leading provider. The latency reduction in the table above is attributable to four changes measured independently: provider selection, provider-aware concurrency, parallel per-claim verification, and overlapping claim extraction with the content factors.</w:t>
      </w:r>
    </w:p>
    <w:p>
      <w:pPr>
        <w:spacing w:before="200" w:after="80"/>
        <w:jc w:val="center"/>
      </w:pPr>
      <w:r>
        <w:rPr>
          <w:rFonts w:ascii="Times New Roman" w:hAnsi="Times New Roman"/>
          <w:b/>
          <w:i w:val="0"/>
          <w:sz w:val="22"/>
        </w:rPr>
        <w:t>8. DISCUSSION</w:t>
      </w:r>
    </w:p>
    <w:p>
      <w:pPr>
        <w:spacing w:before="0" w:after="120"/>
        <w:jc w:val="both"/>
      </w:pPr>
      <w:r>
        <w:rPr>
          <w:rFonts w:ascii="Times New Roman" w:hAnsi="Times New Roman"/>
          <w:b w:val="0"/>
          <w:i w:val="0"/>
          <w:sz w:val="20"/>
        </w:rPr>
        <w:t>On abstention as a correctness property. The defect in Section 7.5 is the clearest argument for the design. A system that emits a neutral score on failure is not merely imprecise; it is misleading in a specific direction, because a neutral score on a 0–10 scale reads as mild reassurance. Any system combining independently-failing components inherits this hazard, and we suggest that defined failure behaviour belongs in the specification of such systems rather than in their implementation.</w:t>
      </w:r>
    </w:p>
    <w:p>
      <w:pPr>
        <w:spacing w:before="0" w:after="120"/>
        <w:jc w:val="both"/>
      </w:pPr>
      <w:r>
        <w:rPr>
          <w:rFonts w:ascii="Times New Roman" w:hAnsi="Times New Roman"/>
          <w:b w:val="0"/>
          <w:i w:val="0"/>
          <w:sz w:val="20"/>
        </w:rPr>
        <w:t>On the division of labour with the model. The model is used for judgments that are linguistic (is this sentence loaded? does this article name sources?) and never for judgments that are factual (is this claim true?). Factual weight rests on retrieval. This is why the system abstains often on cross-source verification, and we regard the abstention rate as an honest cost rather than a weakness to be engineered away.</w:t>
      </w:r>
    </w:p>
    <w:p>
      <w:pPr>
        <w:spacing w:before="0" w:after="120"/>
        <w:jc w:val="both"/>
      </w:pPr>
      <w:r>
        <w:rPr>
          <w:rFonts w:ascii="Times New Roman" w:hAnsi="Times New Roman"/>
          <w:b w:val="0"/>
          <w:i w:val="0"/>
          <w:sz w:val="20"/>
        </w:rPr>
        <w:t>On a component we removed. A seventh factor matching claims against professional fact-checkers was implemented and validated: given a claim Snopes had rated, it retrieved the page, read "False" from its ClaimReview markup, and cited the URL; given a different claim on the same topic, it correctly declined to match. It is not in the running system. Google's Fact Check Tools API requires a billing-enabled account, and the keyless alternative — locating fact-check pages through news search — consumes a request budget of 100 per day that the article feed itself depends on. Direct search of fact-checker sites was tested and is unusable, as their result pages render in JavaScript. The code is retained and documented for reactivation.</w:t>
      </w:r>
    </w:p>
    <w:p>
      <w:pPr>
        <w:spacing w:before="160" w:after="60"/>
        <w:jc w:val="both"/>
      </w:pPr>
      <w:r>
        <w:rPr>
          <w:rFonts w:ascii="Times New Roman" w:hAnsi="Times New Roman"/>
          <w:b w:val="0"/>
          <w:i/>
          <w:sz w:val="20"/>
        </w:rPr>
        <w:t>8.1 Limitations and threats to validity</w:t>
      </w:r>
    </w:p>
    <w:p>
      <w:pPr>
        <w:spacing w:before="0" w:after="120"/>
        <w:jc w:val="both"/>
      </w:pPr>
      <w:r>
        <w:rPr>
          <w:rFonts w:ascii="Times New Roman" w:hAnsi="Times New Roman"/>
          <w:b w:val="0"/>
          <w:i w:val="0"/>
          <w:sz w:val="20"/>
        </w:rPr>
        <w:t>We state these plainly, because several bear directly on how the numbers above should be read.</w:t>
      </w:r>
    </w:p>
    <w:p>
      <w:pPr>
        <w:spacing w:before="0" w:after="120"/>
        <w:jc w:val="both"/>
      </w:pPr>
      <w:r>
        <w:rPr>
          <w:rFonts w:ascii="Times New Roman" w:hAnsi="Times New Roman"/>
          <w:b w:val="0"/>
          <w:i w:val="0"/>
          <w:sz w:val="20"/>
        </w:rPr>
        <w:t>The corpus is small. The weights and the held-out comparison rest on 239 articles, 119 training and 120 test. A one-article difference in accuracy is not a difference, and we do not treat it as one. The earlier figures, estimated on 1,642 records, were larger but of unknown provenance: the guard intended to exclude pattern-matcher observations tested a flag the checks never set, so it never fired, and the proportion of fallback observations was unknown. That instrumentation is corrected, the channel is recorded per observation, and this table is estimated with --clean-only from records that state it. We prefer 239 articles of known provenance to 1,642 of unknown, and state the cost: ISOT's score distribution is bimodal, so the middle bands remain thin and several contribute nothing. The re-estimation stopped at 239 rather than the intended 300 because both model providers became unavailable mid-run — one returning 503, the other out of quota — and the remaining articles were not worth waiting on at the rate the run had dropped to.</w:t>
      </w:r>
    </w:p>
    <w:p>
      <w:pPr>
        <w:spacing w:before="0" w:after="120"/>
        <w:jc w:val="both"/>
      </w:pPr>
      <w:r>
        <w:rPr>
          <w:rFonts w:ascii="Times New Roman" w:hAnsi="Times New Roman"/>
          <w:b w:val="0"/>
          <w:i w:val="0"/>
          <w:sz w:val="20"/>
        </w:rPr>
        <w:t>Priors and corroboration rates are declared, not measured. The provenance priors and the likelihood ratios attached to corroboration are set from reasoning about publishing practice rather than estimated from labelled data. Each is labelled declared in the stored table and in every report, and each carries a note stating what would measure it. This is a stated assumption, not a hidden one, but it is an assumption.</w:t>
      </w:r>
    </w:p>
    <w:p>
      <w:pPr>
        <w:spacing w:before="0" w:after="120"/>
        <w:jc w:val="both"/>
      </w:pPr>
      <w:r>
        <w:rPr>
          <w:rFonts w:ascii="Times New Roman" w:hAnsi="Times New Roman"/>
          <w:b w:val="0"/>
          <w:i w:val="0"/>
          <w:sz w:val="20"/>
        </w:rPr>
        <w:t>The adversarial set is small and partly self-authored. Ten items, six of them deceptive and two genuine reports, and the deceptive items were written by the authors to satisfy every presentation check. This measures whether the admissibility rule does what it is designed to do; it does not estimate a rate in the wild, and a set written by the people who designed the defence is not an independent test of it.</w:t>
      </w:r>
    </w:p>
    <w:p>
      <w:pPr>
        <w:spacing w:before="0" w:after="120"/>
        <w:jc w:val="both"/>
      </w:pPr>
      <w:r>
        <w:rPr>
          <w:rFonts w:ascii="Times New Roman" w:hAnsi="Times New Roman"/>
          <w:b w:val="0"/>
          <w:i w:val="0"/>
          <w:sz w:val="20"/>
        </w:rPr>
        <w:t>ISOT is not a test of the capability claimed. Its fake articles are crude enough that presentation alone separates the classes [14], which is the opposite of the adversary this work is designed against. We use it to estimate likelihood ratios for presentation observations — a purpose for which crude fabrications are adequate — and not as evidence of performance against a careful adversary.</w:t>
      </w:r>
    </w:p>
    <w:p>
      <w:pPr>
        <w:spacing w:before="0" w:after="120"/>
        <w:jc w:val="both"/>
      </w:pPr>
      <w:r>
        <w:rPr>
          <w:rFonts w:ascii="Times New Roman" w:hAnsi="Times New Roman"/>
          <w:b w:val="0"/>
          <w:i w:val="0"/>
          <w:sz w:val="20"/>
        </w:rPr>
        <w:t>Corroboration depends on a commercial news index. Coverage of local and non-English reporting is uneven, and an absence of retrieved coverage may reflect the index rather than the world. The system reports unverified in that case rather than a verdict, which is the correct behaviour, but the rate at which it does so is a property of the index as much as of the article.</w:t>
      </w:r>
    </w:p>
    <w:p>
      <w:pPr>
        <w:spacing w:before="0" w:after="120"/>
        <w:jc w:val="both"/>
      </w:pPr>
      <w:r>
        <w:rPr>
          <w:rFonts w:ascii="Times New Roman" w:hAnsi="Times New Roman"/>
          <w:b w:val="0"/>
          <w:i w:val="0"/>
          <w:sz w:val="20"/>
        </w:rPr>
        <w:t>The one-sided rule costs discrimination. Section 7.2 reports AUC of 0.951 with the rule enforced against 0.983 without it, and 0.978 for the legacy rule. We argue the difference is bought with evidence a competent adversary supplies at will, but on a corpus of incompetent adversaries the unconstrained model is genuinely the better classifier, and we do not claim otherwise.</w:t>
      </w:r>
    </w:p>
    <w:p>
      <w:pPr>
        <w:spacing w:before="0" w:after="120"/>
        <w:jc w:val="both"/>
      </w:pPr>
      <w:r>
        <w:rPr>
          <w:rFonts w:ascii="Times New Roman" w:hAnsi="Times New Roman"/>
          <w:b w:val="0"/>
          <w:i w:val="0"/>
          <w:sz w:val="20"/>
        </w:rPr>
        <w:t>Further threats. ISOT is 2016–2017 United States political news, and shift to current news is unmeasured. Stance judgement reads headlines and standfirsts rather than full article bodies; a natural-language-inference model over full text is a direct substitution. The language-model factors inherit whatever bias the model carries, and low temperature with structured output reduces variance but not bias. The outlet database covers ninety publishers, so smaller ones frequently receive no reliability record, which is the most common gap we observed in use. Every measurement in Section 7.1 is single-dataset and single-model.</w:t>
      </w:r>
    </w:p>
    <w:p>
      <w:pPr>
        <w:spacing w:before="200" w:after="80"/>
        <w:jc w:val="center"/>
      </w:pPr>
      <w:r>
        <w:rPr>
          <w:rFonts w:ascii="Times New Roman" w:hAnsi="Times New Roman"/>
          <w:b/>
          <w:i w:val="0"/>
          <w:sz w:val="22"/>
        </w:rPr>
        <w:t>9. CONCLUSION</w:t>
      </w:r>
    </w:p>
    <w:p>
      <w:pPr>
        <w:spacing w:before="0" w:after="120"/>
        <w:jc w:val="both"/>
      </w:pPr>
      <w:r>
        <w:rPr>
          <w:rFonts w:ascii="Times New Roman" w:hAnsi="Times New Roman"/>
          <w:b w:val="0"/>
          <w:i w:val="0"/>
          <w:sz w:val="20"/>
        </w:rPr>
        <w:t>Detecting fake news is not ordinary classification, and the difference is not a detail of implementation. When an adversary writes the features, the value of a feature changes: it may still incriminate, but it can no longer exonerate, because the favourable value is precisely what the adversary supplies. A detector that learns otherwise has learned the habits of whichever crude fabrications its corpus happened to contain.</w:t>
      </w:r>
    </w:p>
    <w:p>
      <w:pPr>
        <w:spacing w:before="0" w:after="120"/>
        <w:jc w:val="both"/>
      </w:pPr>
      <w:r>
        <w:rPr>
          <w:rFonts w:ascii="Times New Roman" w:hAnsi="Times New Roman"/>
          <w:b w:val="0"/>
          <w:i w:val="0"/>
          <w:sz w:val="20"/>
        </w:rPr>
        <w:t>We stated that asymmetry as an admissibility rule, built a scoring model on it in which every weight is a likelihood ratio measured from labelled data rather than a constant chosen by hand, and reported the result as a probability that can be checked against outcomes rather than a score on an invented scale. Held out, this leaves accuracy where the rule it replaces left it — 114 correct against 115, of 120 — and reduces calibration error where the system accuses from 0.267 to 0.152. It also costs something, and we report that too: 0.027 of ROC-AUC, and overall calibration on a corpus whose only exculpatory evidence is the style the rule refuses to admit — a corpus that cannot express the attack the rule defends against.</w:t>
      </w:r>
    </w:p>
    <w:p>
      <w:pPr>
        <w:spacing w:before="0" w:after="120"/>
        <w:jc w:val="both"/>
      </w:pPr>
      <w:r>
        <w:rPr>
          <w:rFonts w:ascii="Times New Roman" w:hAnsi="Times New Roman"/>
          <w:b w:val="0"/>
          <w:i w:val="0"/>
          <w:sz w:val="20"/>
        </w:rPr>
        <w:t>The property we regard as central is what the system does when it does not know. It declines input carrying no verifiable claim, says what is missing, and distinguishes a check that found nothing from one that could not run — a distinction we got wrong three times during development, each time in a new place, and each time with the same effect of presenting an absence of knowledge as a clean bill of health.</w:t>
      </w:r>
    </w:p>
    <w:p>
      <w:pPr>
        <w:spacing w:before="200" w:after="80"/>
        <w:jc w:val="center"/>
      </w:pPr>
      <w:r>
        <w:rPr>
          <w:rFonts w:ascii="Times New Roman" w:hAnsi="Times New Roman"/>
          <w:b/>
          <w:i w:val="0"/>
          <w:sz w:val="22"/>
        </w:rPr>
        <w:t>10. FUTURE WORK</w:t>
      </w:r>
    </w:p>
    <w:p>
      <w:pPr>
        <w:spacing w:before="160" w:after="60"/>
        <w:jc w:val="both"/>
      </w:pPr>
      <w:r>
        <w:rPr>
          <w:rFonts w:ascii="Times New Roman" w:hAnsi="Times New Roman"/>
          <w:b w:val="0"/>
          <w:i/>
          <w:sz w:val="20"/>
        </w:rPr>
        <w:t>10.1 Immediate</w:t>
      </w:r>
    </w:p>
    <w:p>
      <w:pPr>
        <w:spacing w:before="0" w:after="120"/>
        <w:jc w:val="both"/>
      </w:pPr>
      <w:r>
        <w:rPr>
          <w:rFonts w:ascii="Times New Roman" w:hAnsi="Times New Roman"/>
          <w:b w:val="0"/>
          <w:i w:val="0"/>
          <w:sz w:val="20"/>
        </w:rPr>
        <w:t>Enlarge the estimation corpus. The likelihood ratios rest on 239 articles (Section 8.1), which leaves several observation bands too thin to estimate; the instrumentation to extend it cleanly is in place and the constraint is model quota rather than method. Re-run the ablations of Section 7.3 on the current six-factor pipeline and a current model, so that table ceases to be historical. Complete the live-news verification study described in Section 7.7, annotating thirty claims by hand for coverage rate and verdict precision.</w:t>
      </w:r>
    </w:p>
    <w:p>
      <w:pPr>
        <w:spacing w:before="160" w:after="60"/>
        <w:jc w:val="both"/>
      </w:pPr>
      <w:r>
        <w:rPr>
          <w:rFonts w:ascii="Times New Roman" w:hAnsi="Times New Roman"/>
          <w:b w:val="0"/>
          <w:i/>
          <w:sz w:val="20"/>
        </w:rPr>
        <w:t>10.2 Planned</w:t>
      </w:r>
    </w:p>
    <w:p>
      <w:pPr>
        <w:spacing w:before="0" w:after="120"/>
        <w:jc w:val="both"/>
      </w:pPr>
      <w:r>
        <w:rPr>
          <w:rFonts w:ascii="Times New Roman" w:hAnsi="Times New Roman"/>
          <w:b w:val="0"/>
          <w:i w:val="0"/>
          <w:sz w:val="20"/>
        </w:rPr>
        <w:t>Reading trust history. Per-article scores are already stored; presenting a reader's own reading reliability over time requires only the visualisation.</w:t>
      </w:r>
    </w:p>
    <w:p>
      <w:pPr>
        <w:spacing w:before="0" w:after="120"/>
        <w:jc w:val="both"/>
      </w:pPr>
      <w:r>
        <w:rPr>
          <w:rFonts w:ascii="Times New Roman" w:hAnsi="Times New Roman"/>
          <w:b w:val="0"/>
          <w:i w:val="0"/>
          <w:sz w:val="20"/>
        </w:rPr>
        <w:t>Wider source coverage. The published ratings [16] cover 11,520 domains but few regional-language Indian outlets, which the curated list fills only for the largest. Because every analysis already yields a per-outlet score, ratings for unlisted outlets can be accumulated from articles already assessed and validated against both sets. Verified platform channels are listed for one outlet so far and would extend in the same way.</w:t>
      </w:r>
    </w:p>
    <w:p>
      <w:pPr>
        <w:spacing w:before="200" w:after="80"/>
        <w:jc w:val="center"/>
      </w:pPr>
      <w:r>
        <w:rPr>
          <w:rFonts w:ascii="Times New Roman" w:hAnsi="Times New Roman"/>
          <w:b/>
          <w:i w:val="0"/>
          <w:sz w:val="22"/>
        </w:rPr>
        <w:t>REFERENCES</w:t>
      </w:r>
    </w:p>
    <w:p>
      <w:pPr>
        <w:spacing w:before="0" w:after="120"/>
        <w:jc w:val="both"/>
      </w:pPr>
      <w:r>
        <w:rPr>
          <w:rFonts w:ascii="Times New Roman" w:hAnsi="Times New Roman"/>
          <w:b w:val="0"/>
          <w:i w:val="0"/>
          <w:sz w:val="20"/>
        </w:rPr>
        <w:t>[1] K. Shu, L. Cui, S. Wang, D. Lee, and H. Liu, "dEFEND: Explainable Fake News Detection," in Proc. 25th ACM SIGKDD Int. Conf. Knowledge Discovery and Data Mining (KDD), Anchorage, AK, USA, 2019, pp. 395–405.</w:t>
      </w:r>
    </w:p>
    <w:p>
      <w:pPr>
        <w:spacing w:before="0" w:after="120"/>
        <w:jc w:val="both"/>
      </w:pPr>
      <w:r>
        <w:rPr>
          <w:rFonts w:ascii="Times New Roman" w:hAnsi="Times New Roman"/>
          <w:b w:val="0"/>
          <w:i w:val="0"/>
          <w:sz w:val="20"/>
        </w:rPr>
        <w:t>[2] H. Ahmed, I. Traore, and S. Saad, "Detection of Online Fake News Using N-Gram Analysis and Machine Learning Techniques," in Proc. Int. Conf. Intelligent, Secure, and Dependable Systems in Distributed and Cloud Environments (ISDDC), Vancouver, BC, Canada, 2017, pp. 127–138.</w:t>
      </w:r>
    </w:p>
    <w:p>
      <w:pPr>
        <w:spacing w:before="0" w:after="120"/>
        <w:jc w:val="both"/>
      </w:pPr>
      <w:r>
        <w:rPr>
          <w:rFonts w:ascii="Times New Roman" w:hAnsi="Times New Roman"/>
          <w:b w:val="0"/>
          <w:i w:val="0"/>
          <w:sz w:val="20"/>
        </w:rPr>
        <w:t>[3] S. Amri, H.-C. Mputu Boleilanga, and E. Aïmeur, "ExFake: Towards an Explainable Fake News Detection Based on Content and Social Context Information," arXiv:2311.10784, Nov. 2023.</w:t>
      </w:r>
    </w:p>
    <w:p>
      <w:pPr>
        <w:spacing w:before="0" w:after="120"/>
        <w:jc w:val="both"/>
      </w:pPr>
      <w:r>
        <w:rPr>
          <w:rFonts w:ascii="Times New Roman" w:hAnsi="Times New Roman"/>
          <w:b w:val="0"/>
          <w:i w:val="0"/>
          <w:sz w:val="20"/>
        </w:rPr>
        <w:t>[4] B. Wang, J. Ma, H. Lin, Z. Yang, R. Yang, Y. Tian, and Y. Chang, "Explainable Fake News Detection with Large Language Model via Defense Among Competing Wisdom," in Proc. ACM Web Conf. (WWW), Singapore, 2024, pp. 2452–2463.</w:t>
      </w:r>
    </w:p>
    <w:p>
      <w:pPr>
        <w:spacing w:before="0" w:after="120"/>
        <w:jc w:val="both"/>
      </w:pPr>
      <w:r>
        <w:rPr>
          <w:rFonts w:ascii="Times New Roman" w:hAnsi="Times New Roman"/>
          <w:b w:val="0"/>
          <w:i w:val="0"/>
          <w:sz w:val="20"/>
        </w:rPr>
        <w:t>[5] J. Thorne, A. Vlachos, C. Christodoulopoulos, and A. Mittal, "FEVER: A Large-scale Dataset for Fact Extraction and VERification," in Proc. Conf. North American Chapter Assoc. Computational Linguistics (NAACL-HLT), New Orleans, LA, USA, 2018, pp. 809–819.</w:t>
      </w:r>
    </w:p>
    <w:p>
      <w:pPr>
        <w:spacing w:before="0" w:after="120"/>
        <w:jc w:val="both"/>
      </w:pPr>
      <w:r>
        <w:rPr>
          <w:rFonts w:ascii="Times New Roman" w:hAnsi="Times New Roman"/>
          <w:b w:val="0"/>
          <w:i w:val="0"/>
          <w:sz w:val="20"/>
        </w:rPr>
        <w:t>[6] C. Guo, G. Pleiss, Y. Sun, and K. Q. Weinberger, "On Calibration of Modern Neural Networks," in Proc. 34th Int. Conf. Machine Learning (ICML), Sydney, Australia, 2017, pp. 1321–1330.</w:t>
      </w:r>
    </w:p>
    <w:p>
      <w:pPr>
        <w:spacing w:before="0" w:after="120"/>
        <w:jc w:val="both"/>
      </w:pPr>
      <w:r>
        <w:rPr>
          <w:rFonts w:ascii="Times New Roman" w:hAnsi="Times New Roman"/>
          <w:b w:val="0"/>
          <w:i w:val="0"/>
          <w:sz w:val="20"/>
        </w:rPr>
        <w:t>[7] G. Da San Martino, A. Barrón-Cedeño, H. Wachsmuth, R. Petrov, and P. Nakov, "SemEval-2020 Task 11: Detection of Propaganda Techniques in News Articles," in Proc. 14th Workshop on Semantic Evaluation (SemEval), Barcelona, Spain, 2020, pp. 1377–1414.</w:t>
      </w:r>
    </w:p>
    <w:p>
      <w:pPr>
        <w:spacing w:before="0" w:after="120"/>
        <w:jc w:val="both"/>
      </w:pPr>
      <w:r>
        <w:rPr>
          <w:rFonts w:ascii="Times New Roman" w:hAnsi="Times New Roman"/>
          <w:b w:val="0"/>
          <w:i w:val="0"/>
          <w:sz w:val="20"/>
        </w:rPr>
        <w:t>[8] J. C. Platt, "Probabilistic Outputs for Support Vector Machines and Comparisons to Regularized Likelihood Methods," in Advances in Large Margin Classifiers, A. J. Smola, P. Bartlett, B. Schölkopf, and D. Schuurmans, Eds. Cambridge, MA, USA: MIT Press, 1999, pp. 61–74.</w:t>
      </w:r>
    </w:p>
    <w:p>
      <w:pPr>
        <w:spacing w:before="0" w:after="120"/>
        <w:jc w:val="both"/>
      </w:pPr>
      <w:r>
        <w:rPr>
          <w:rFonts w:ascii="Times New Roman" w:hAnsi="Times New Roman"/>
          <w:b w:val="0"/>
          <w:i w:val="0"/>
          <w:sz w:val="20"/>
        </w:rPr>
        <w:t>[9] I. J. Good, Probability and the Weighing of Evidence. London, U.K.: Charles Griffin, 1950.</w:t>
      </w:r>
    </w:p>
    <w:p>
      <w:pPr>
        <w:spacing w:before="0" w:after="120"/>
        <w:jc w:val="both"/>
      </w:pPr>
      <w:r>
        <w:rPr>
          <w:rFonts w:ascii="Times New Roman" w:hAnsi="Times New Roman"/>
          <w:b w:val="0"/>
          <w:i w:val="0"/>
          <w:sz w:val="20"/>
        </w:rPr>
        <w:t>[10] B. Zadrozny and C. Elkan, "Transforming Classifier Scores into Accurate Multiclass Probability Estimates," in Proc. 8th ACM SIGKDD Int. Conf. Knowledge Discovery and Data Mining (KDD), Edmonton, AB, Canada, 2002, pp. 694–699.</w:t>
      </w:r>
    </w:p>
    <w:p>
      <w:pPr>
        <w:spacing w:before="0" w:after="120"/>
        <w:jc w:val="both"/>
      </w:pPr>
      <w:r>
        <w:rPr>
          <w:rFonts w:ascii="Times New Roman" w:hAnsi="Times New Roman"/>
          <w:b w:val="0"/>
          <w:i w:val="0"/>
          <w:sz w:val="20"/>
        </w:rPr>
        <w:t>[11] C. K. Chow, "On Optimum Recognition Error and Reject Tradeoff," IEEE Trans. Inf. Theory, vol. 16, no. 1, pp. 41–46, Jan. 1970.</w:t>
      </w:r>
    </w:p>
    <w:p>
      <w:pPr>
        <w:spacing w:before="0" w:after="120"/>
        <w:jc w:val="both"/>
      </w:pPr>
      <w:r>
        <w:rPr>
          <w:rFonts w:ascii="Times New Roman" w:hAnsi="Times New Roman"/>
          <w:b w:val="0"/>
          <w:i w:val="0"/>
          <w:sz w:val="20"/>
        </w:rPr>
        <w:t>[12] R. El-Yaniv and Y. Wiener, "On the Foundations of Noise-free Selective Classification," J. Machine Learning Research, vol. 11, pp. 1605–1641, 2010.</w:t>
      </w:r>
    </w:p>
    <w:p>
      <w:pPr>
        <w:spacing w:before="0" w:after="120"/>
        <w:jc w:val="both"/>
      </w:pPr>
      <w:r>
        <w:rPr>
          <w:rFonts w:ascii="Times New Roman" w:hAnsi="Times New Roman"/>
          <w:b w:val="0"/>
          <w:i w:val="0"/>
          <w:sz w:val="20"/>
        </w:rPr>
        <w:t>[13] Y. Geifman and R. El-Yaniv, "Selective Classification for Deep Neural Networks," in Advances in Neural Information Processing Systems (NeurIPS), Long Beach, CA, USA, 2017, pp. 4878–4887.</w:t>
      </w:r>
    </w:p>
    <w:p>
      <w:pPr>
        <w:spacing w:before="0" w:after="120"/>
        <w:jc w:val="both"/>
      </w:pPr>
      <w:r>
        <w:rPr>
          <w:rFonts w:ascii="Times New Roman" w:hAnsi="Times New Roman"/>
          <w:b w:val="0"/>
          <w:i w:val="0"/>
          <w:sz w:val="20"/>
        </w:rPr>
        <w:t>[14] Y. Verma, "What Does 99% Accuracy Measure? A Reproducible Audit of Shortcut Learning in a Widely Used Fake News Corpus," arXiv:2609.25006, 2026.</w:t>
      </w:r>
    </w:p>
    <w:p>
      <w:pPr>
        <w:spacing w:before="0" w:after="120"/>
        <w:jc w:val="both"/>
      </w:pPr>
      <w:r>
        <w:rPr>
          <w:rFonts w:ascii="Times New Roman" w:hAnsi="Times New Roman"/>
          <w:b w:val="0"/>
          <w:i w:val="0"/>
          <w:sz w:val="20"/>
        </w:rPr>
        <w:t>[15] H. Jeffreys, Theory of Probability, 3rd ed. Oxford, U.K.: Clarendon Press, 1961.</w:t>
      </w:r>
    </w:p>
    <w:p>
      <w:pPr>
        <w:spacing w:before="0" w:after="120"/>
        <w:jc w:val="both"/>
      </w:pPr>
      <w:r>
        <w:rPr>
          <w:rFonts w:ascii="Times New Roman" w:hAnsi="Times New Roman"/>
          <w:b w:val="0"/>
          <w:i w:val="0"/>
          <w:sz w:val="20"/>
        </w:rPr>
        <w:t>[16] H. Lin, J. Lasser, S. Lewandowsky, R. Cole, A. Gully, D. G. Rand, and G. Pennycook, "High Level of Correspondence Across Different News Domain Quality Rating Sets," PNAS Nexus, vol. 2, no. 9, p. pgad286, 2023, doi: 10.1093/pnasnexus/pgad286.</w:t>
      </w:r>
    </w:p>
    <w:p>
      <w:pPr>
        <w:spacing w:before="200" w:after="80"/>
        <w:jc w:val="center"/>
      </w:pPr>
      <w:r>
        <w:rPr>
          <w:rFonts w:ascii="Times New Roman" w:hAnsi="Times New Roman"/>
          <w:b/>
          <w:i w:val="0"/>
          <w:sz w:val="22"/>
        </w:rPr>
        <w:t>APPENDIX A — REPRODUCIBILITY</w:t>
      </w:r>
    </w:p>
    <w:p>
      <w:pPr>
        <w:spacing w:before="0" w:after="120"/>
        <w:jc w:val="both"/>
      </w:pPr>
      <w:r>
        <w:rPr>
          <w:rFonts w:ascii="Times New Roman" w:hAnsi="Times New Roman"/>
          <w:b w:val="0"/>
          <w:i w:val="0"/>
          <w:sz w:val="20"/>
        </w:rPr>
        <w:t>Every figure in Sections 7.1, 7.2 and 7.6 is reproducible without any API key, because the estimation, the held-out comparison and the adversarial benchmark all run on stored factor outputs and deterministic analysers:</w:t>
      </w:r>
    </w:p>
    <w:p>
      <w:pPr>
        <w:spacing w:after="0"/>
        <w:ind w:left="160"/>
        <w:jc w:val="left"/>
      </w:pPr>
      <w:r>
        <w:rPr>
          <w:rFonts w:ascii="Consolas" w:hAnsi="Consolas"/>
          <w:sz w:val="16"/>
        </w:rPr>
        <w:t>cd backend</w:t>
      </w:r>
    </w:p>
    <w:p>
      <w:pPr>
        <w:spacing w:after="0"/>
        <w:ind w:left="160"/>
        <w:jc w:val="left"/>
      </w:pPr>
      <w:r>
        <w:rPr>
          <w:rFonts w:ascii="Consolas" w:hAnsi="Consolas"/>
          <w:sz w:val="16"/>
        </w:rPr>
        <w:t>npm test                                  # 103 tests, no keys required</w:t>
      </w:r>
    </w:p>
    <w:p>
      <w:pPr>
        <w:spacing w:after="0"/>
        <w:ind w:left="160"/>
        <w:jc w:val="left"/>
      </w:pPr>
      <w:r>
        <w:rPr>
          <w:rFonts w:ascii="Consolas" w:hAnsi="Consolas"/>
          <w:sz w:val="16"/>
        </w:rPr>
        <w:t>node eval/estimateWeights.js              # measure the likelihood ratios</w:t>
      </w:r>
    </w:p>
    <w:p>
      <w:pPr>
        <w:spacing w:after="0"/>
        <w:ind w:left="160"/>
        <w:jc w:val="left"/>
      </w:pPr>
      <w:r>
        <w:rPr>
          <w:rFonts w:ascii="Consolas" w:hAnsi="Consolas"/>
          <w:sz w:val="16"/>
        </w:rPr>
        <w:t>node eval/validateScoring.js              # Section 7.1</w:t>
      </w:r>
    </w:p>
    <w:p>
      <w:pPr>
        <w:spacing w:after="0"/>
        <w:ind w:left="160"/>
        <w:jc w:val="left"/>
      </w:pPr>
      <w:r>
        <w:rPr>
          <w:rFonts w:ascii="Consolas" w:hAnsi="Consolas"/>
          <w:sz w:val="16"/>
        </w:rPr>
        <w:t>node eval/validateScoring.js --no-clamp   # Section 7.2, the ablation</w:t>
      </w:r>
    </w:p>
    <w:p>
      <w:pPr>
        <w:spacing w:after="0"/>
        <w:ind w:left="160"/>
        <w:jc w:val="left"/>
      </w:pPr>
      <w:r>
        <w:rPr>
          <w:rFonts w:ascii="Consolas" w:hAnsi="Consolas"/>
          <w:sz w:val="16"/>
        </w:rPr>
        <w:t>node eval/adversarialBench.js --no-model  # Section 7.6</w:t>
      </w:r>
    </w:p>
    <w:p>
      <w:pPr>
        <w:spacing w:before="0" w:after="80"/>
        <w:jc w:val="both"/>
      </w:pPr>
      <w:r>
        <w:rPr>
          <w:rFonts w:ascii="Times New Roman" w:hAnsi="Times New Roman"/>
          <w:b w:val="0"/>
          <w:i w:val="0"/>
          <w:sz w:val="8"/>
        </w:rPr>
        <w:t xml:space="preserve"> </w:t>
      </w:r>
    </w:p>
    <w:p>
      <w:pPr>
        <w:spacing w:before="0" w:after="120"/>
        <w:jc w:val="both"/>
      </w:pPr>
      <w:r>
        <w:rPr>
          <w:rFonts w:ascii="Times New Roman" w:hAnsi="Times New Roman"/>
          <w:b w:val="0"/>
          <w:i w:val="0"/>
          <w:sz w:val="20"/>
        </w:rPr>
        <w:t>Reproducing Section 7.3, the historical ISOT run, additionally needs a model provider and the corpus:</w:t>
      </w:r>
    </w:p>
    <w:p>
      <w:pPr>
        <w:spacing w:after="0"/>
        <w:ind w:left="160"/>
        <w:jc w:val="left"/>
      </w:pPr>
      <w:r>
        <w:rPr>
          <w:rFonts w:ascii="Consolas" w:hAnsi="Consolas"/>
          <w:sz w:val="16"/>
        </w:rPr>
        <w:t>node eval/prepareIsot.js</w:t>
      </w:r>
    </w:p>
    <w:p>
      <w:pPr>
        <w:spacing w:after="0"/>
        <w:ind w:left="160"/>
        <w:jc w:val="left"/>
      </w:pPr>
      <w:r>
        <w:rPr>
          <w:rFonts w:ascii="Consolas" w:hAnsi="Consolas"/>
          <w:sz w:val="16"/>
        </w:rPr>
        <w:t>node eval/runEval.js --data eval/data/isot.csv --config content-only --sample 300</w:t>
      </w:r>
    </w:p>
    <w:p>
      <w:pPr>
        <w:spacing w:after="0"/>
        <w:ind w:left="160"/>
        <w:jc w:val="left"/>
      </w:pPr>
      <w:r>
        <w:rPr>
          <w:rFonts w:ascii="Consolas" w:hAnsi="Consolas"/>
          <w:sz w:val="16"/>
        </w:rPr>
        <w:t>node eval/runEval.js --data eval/data/isot.csv --config baseline     --sample 300</w:t>
      </w:r>
    </w:p>
    <w:p>
      <w:pPr>
        <w:spacing w:after="0"/>
        <w:ind w:left="160"/>
        <w:jc w:val="left"/>
      </w:pPr>
      <w:r>
        <w:rPr>
          <w:rFonts w:ascii="Consolas" w:hAnsi="Consolas"/>
          <w:sz w:val="16"/>
        </w:rPr>
        <w:t>node eval/report.js</w:t>
      </w:r>
    </w:p>
    <w:p>
      <w:pPr>
        <w:spacing w:before="0" w:after="80"/>
        <w:jc w:val="both"/>
      </w:pPr>
      <w:r>
        <w:rPr>
          <w:rFonts w:ascii="Times New Roman" w:hAnsi="Times New Roman"/>
          <w:b w:val="0"/>
          <w:i w:val="0"/>
          <w:sz w:val="8"/>
        </w:rPr>
        <w:t xml:space="preserve"> </w:t>
      </w:r>
    </w:p>
    <w:p>
      <w:pPr>
        <w:spacing w:before="0" w:after="120"/>
        <w:jc w:val="both"/>
      </w:pPr>
      <w:r>
        <w:rPr>
          <w:rFonts w:ascii="Times New Roman" w:hAnsi="Times New Roman"/>
          <w:b w:val="0"/>
          <w:i w:val="0"/>
          <w:sz w:val="20"/>
        </w:rPr>
        <w:t>Replacing the declared corroboration rates with measured ones needs a news-API quota:</w:t>
      </w:r>
    </w:p>
    <w:p>
      <w:pPr>
        <w:spacing w:after="0"/>
        <w:ind w:left="160"/>
        <w:jc w:val="left"/>
      </w:pPr>
      <w:r>
        <w:rPr>
          <w:rFonts w:ascii="Consolas" w:hAnsi="Consolas"/>
          <w:sz w:val="16"/>
        </w:rPr>
        <w:t>node eval/measureCorroborationRates.js</w:t>
      </w:r>
    </w:p>
    <w:p>
      <w:pPr>
        <w:spacing w:before="0" w:after="80"/>
        <w:jc w:val="both"/>
      </w:pPr>
      <w:r>
        <w:rPr>
          <w:rFonts w:ascii="Times New Roman" w:hAnsi="Times New Roman"/>
          <w:b w:val="0"/>
          <w:i w:val="0"/>
          <w:sz w:val="8"/>
        </w:rPr>
        <w:t xml:space="preserve"> </w:t>
      </w:r>
    </w:p>
    <w:p>
      <w:pPr>
        <w:spacing w:before="0" w:after="120"/>
        <w:jc w:val="both"/>
      </w:pPr>
      <w:r>
        <w:rPr>
          <w:rFonts w:ascii="Times New Roman" w:hAnsi="Times New Roman"/>
          <w:b w:val="0"/>
          <w:i w:val="0"/>
          <w:sz w:val="20"/>
        </w:rPr>
        <w:t>Seed 42; identical stratified sample across configurations; per-article results written as JSONL. Provider and model are set by LLM_PROVIDER, NIM_MODEL_NAME, and GEMINI_MODEL_NAME; concurrency by LLM_MAX_CONCURRENT.</w:t>
      </w:r>
    </w:p>
    <w:p>
      <w:pPr>
        <w:spacing w:before="200" w:after="80"/>
        <w:jc w:val="center"/>
      </w:pPr>
      <w:r>
        <w:rPr>
          <w:rFonts w:ascii="Times New Roman" w:hAnsi="Times New Roman"/>
          <w:b/>
          <w:i w:val="0"/>
          <w:sz w:val="22"/>
        </w:rPr>
        <w:t>APPENDIX B — MEASURED WEIGHTS OF EVIDENCE</w:t>
      </w:r>
    </w:p>
    <w:p>
      <w:pPr>
        <w:spacing w:before="0" w:after="120"/>
        <w:jc w:val="both"/>
      </w:pPr>
      <w:r>
        <w:rPr>
          <w:rFonts w:ascii="Times New Roman" w:hAnsi="Times New Roman"/>
          <w:b w:val="0"/>
          <w:i w:val="0"/>
          <w:sz w:val="20"/>
        </w:rPr>
        <w:t>Estimated by eval/estimateWeights.js --clean-only over 239 labelled articles whose measurement channel is recorded, in decibans after shrinkage to the conservative end of a 95% interval. Positive values point toward fabrication. Values in the exculpatory half are shown as measured and are not admitted for author-controlled observations (Section 4.3).</w:t>
      </w:r>
    </w:p>
    <w:tbl>
      <w:tblPr>
        <w:tblStyle w:val="TableGrid"/>
        <w:tblW w:type="auto" w:w="0"/>
        <w:tblLook w:firstColumn="1" w:firstRow="1" w:lastColumn="0" w:lastRow="0" w:noHBand="0" w:noVBand="1" w:val="04A0"/>
      </w:tblPr>
      <w:tblGrid>
        <w:gridCol w:w="2051"/>
        <w:gridCol w:w="2051"/>
        <w:gridCol w:w="2051"/>
        <w:gridCol w:w="2051"/>
        <w:gridCol w:w="2051"/>
      </w:tblGrid>
      <w:tr>
        <w:tc>
          <w:tcPr>
            <w:tcW w:type="dxa" w:w="2051"/>
          </w:tcPr>
          <w:p>
            <w:r/>
            <w:r>
              <w:rPr>
                <w:rFonts w:ascii="Times New Roman" w:hAnsi="Times New Roman"/>
                <w:b/>
                <w:sz w:val="16"/>
              </w:rPr>
              <w:t>Observation</w:t>
            </w:r>
          </w:p>
        </w:tc>
        <w:tc>
          <w:tcPr>
            <w:tcW w:type="dxa" w:w="2051"/>
          </w:tcPr>
          <w:p>
            <w:r/>
            <w:r>
              <w:rPr>
                <w:rFonts w:ascii="Times New Roman" w:hAnsi="Times New Roman"/>
                <w:b/>
                <w:sz w:val="16"/>
              </w:rPr>
              <w:t>Band</w:t>
            </w:r>
          </w:p>
        </w:tc>
        <w:tc>
          <w:tcPr>
            <w:tcW w:type="dxa" w:w="2051"/>
          </w:tcPr>
          <w:p>
            <w:r/>
            <w:r>
              <w:rPr>
                <w:rFonts w:ascii="Times New Roman" w:hAnsi="Times New Roman"/>
                <w:b/>
                <w:sz w:val="16"/>
              </w:rPr>
              <w:t>Fab / Gen</w:t>
            </w:r>
          </w:p>
        </w:tc>
        <w:tc>
          <w:tcPr>
            <w:tcW w:type="dxa" w:w="2051"/>
          </w:tcPr>
          <w:p>
            <w:r/>
            <w:r>
              <w:rPr>
                <w:rFonts w:ascii="Times New Roman" w:hAnsi="Times New Roman"/>
                <w:b/>
                <w:sz w:val="16"/>
              </w:rPr>
              <w:t>Measured (db)</w:t>
            </w:r>
          </w:p>
        </w:tc>
        <w:tc>
          <w:tcPr>
            <w:tcW w:type="dxa" w:w="2051"/>
          </w:tcPr>
          <w:p>
            <w:r/>
            <w:r>
              <w:rPr>
                <w:rFonts w:ascii="Times New Roman" w:hAnsi="Times New Roman"/>
                <w:b/>
                <w:sz w:val="16"/>
              </w:rPr>
              <w:t>Admitted (db)</w:t>
            </w:r>
          </w:p>
        </w:tc>
      </w:tr>
      <w:tr>
        <w:tc>
          <w:tcPr>
            <w:tcW w:type="dxa" w:w="2051"/>
          </w:tcPr>
          <w:p>
            <w:r/>
            <w:r>
              <w:rPr>
                <w:rFonts w:ascii="Times New Roman" w:hAnsi="Times New Roman"/>
                <w:b w:val="0"/>
                <w:sz w:val="16"/>
              </w:rPr>
              <w:t>Headline quality</w:t>
            </w:r>
          </w:p>
        </w:tc>
        <w:tc>
          <w:tcPr>
            <w:tcW w:type="dxa" w:w="2051"/>
          </w:tcPr>
          <w:p>
            <w:r/>
            <w:r>
              <w:rPr>
                <w:rFonts w:ascii="Times New Roman" w:hAnsi="Times New Roman"/>
                <w:b w:val="0"/>
                <w:sz w:val="16"/>
              </w:rPr>
              <w:t>0–2</w:t>
            </w:r>
          </w:p>
        </w:tc>
        <w:tc>
          <w:tcPr>
            <w:tcW w:type="dxa" w:w="2051"/>
          </w:tcPr>
          <w:p>
            <w:r/>
            <w:r>
              <w:rPr>
                <w:rFonts w:ascii="Times New Roman" w:hAnsi="Times New Roman"/>
                <w:b w:val="0"/>
                <w:sz w:val="16"/>
              </w:rPr>
              <w:t>37 / 0</w:t>
            </w:r>
          </w:p>
        </w:tc>
        <w:tc>
          <w:tcPr>
            <w:tcW w:type="dxa" w:w="2051"/>
          </w:tcPr>
          <w:p>
            <w:r/>
            <w:r>
              <w:rPr>
                <w:rFonts w:ascii="Times New Roman" w:hAnsi="Times New Roman"/>
                <w:b w:val="0"/>
                <w:sz w:val="16"/>
              </w:rPr>
              <w:t>+7.2</w:t>
            </w:r>
          </w:p>
        </w:tc>
        <w:tc>
          <w:tcPr>
            <w:tcW w:type="dxa" w:w="2051"/>
          </w:tcPr>
          <w:p>
            <w:r/>
            <w:r>
              <w:rPr>
                <w:rFonts w:ascii="Times New Roman" w:hAnsi="Times New Roman"/>
                <w:b w:val="0"/>
                <w:sz w:val="16"/>
              </w:rPr>
              <w:t>+7.2</w:t>
            </w:r>
          </w:p>
        </w:tc>
      </w:tr>
      <w:tr>
        <w:tc>
          <w:tcPr>
            <w:tcW w:type="dxa" w:w="2051"/>
          </w:tcPr>
          <w:p>
            <w:r/>
            <w:r>
              <w:rPr>
                <w:rFonts w:ascii="Times New Roman" w:hAnsi="Times New Roman"/>
                <w:b w:val="0"/>
                <w:sz w:val="16"/>
              </w:rPr>
              <w:t>Headline quality</w:t>
            </w:r>
          </w:p>
        </w:tc>
        <w:tc>
          <w:tcPr>
            <w:tcW w:type="dxa" w:w="2051"/>
          </w:tcPr>
          <w:p>
            <w:r/>
            <w:r>
              <w:rPr>
                <w:rFonts w:ascii="Times New Roman" w:hAnsi="Times New Roman"/>
                <w:b w:val="0"/>
                <w:sz w:val="16"/>
              </w:rPr>
              <w:t>2–4</w:t>
            </w:r>
          </w:p>
        </w:tc>
        <w:tc>
          <w:tcPr>
            <w:tcW w:type="dxa" w:w="2051"/>
          </w:tcPr>
          <w:p>
            <w:r/>
            <w:r>
              <w:rPr>
                <w:rFonts w:ascii="Times New Roman" w:hAnsi="Times New Roman"/>
                <w:b w:val="0"/>
                <w:sz w:val="16"/>
              </w:rPr>
              <w:t>48 / 0</w:t>
            </w:r>
          </w:p>
        </w:tc>
        <w:tc>
          <w:tcPr>
            <w:tcW w:type="dxa" w:w="2051"/>
          </w:tcPr>
          <w:p>
            <w:r/>
            <w:r>
              <w:rPr>
                <w:rFonts w:ascii="Times New Roman" w:hAnsi="Times New Roman"/>
                <w:b w:val="0"/>
                <w:sz w:val="16"/>
              </w:rPr>
              <w:t>+8.4</w:t>
            </w:r>
          </w:p>
        </w:tc>
        <w:tc>
          <w:tcPr>
            <w:tcW w:type="dxa" w:w="2051"/>
          </w:tcPr>
          <w:p>
            <w:r/>
            <w:r>
              <w:rPr>
                <w:rFonts w:ascii="Times New Roman" w:hAnsi="Times New Roman"/>
                <w:b w:val="0"/>
                <w:sz w:val="16"/>
              </w:rPr>
              <w:t>+8.4</w:t>
            </w:r>
          </w:p>
        </w:tc>
      </w:tr>
      <w:tr>
        <w:tc>
          <w:tcPr>
            <w:tcW w:type="dxa" w:w="2051"/>
          </w:tcPr>
          <w:p>
            <w:r/>
            <w:r>
              <w:rPr>
                <w:rFonts w:ascii="Times New Roman" w:hAnsi="Times New Roman"/>
                <w:b w:val="0"/>
                <w:sz w:val="16"/>
              </w:rPr>
              <w:t>Headline quality</w:t>
            </w:r>
          </w:p>
        </w:tc>
        <w:tc>
          <w:tcPr>
            <w:tcW w:type="dxa" w:w="2051"/>
          </w:tcPr>
          <w:p>
            <w:r/>
            <w:r>
              <w:rPr>
                <w:rFonts w:ascii="Times New Roman" w:hAnsi="Times New Roman"/>
                <w:b w:val="0"/>
                <w:sz w:val="16"/>
              </w:rPr>
              <w:t>4–6</w:t>
            </w:r>
          </w:p>
        </w:tc>
        <w:tc>
          <w:tcPr>
            <w:tcW w:type="dxa" w:w="2051"/>
          </w:tcPr>
          <w:p>
            <w:r/>
            <w:r>
              <w:rPr>
                <w:rFonts w:ascii="Times New Roman" w:hAnsi="Times New Roman"/>
                <w:b w:val="0"/>
                <w:sz w:val="16"/>
              </w:rPr>
              <w:t>14 / 1</w:t>
            </w:r>
          </w:p>
        </w:tc>
        <w:tc>
          <w:tcPr>
            <w:tcW w:type="dxa" w:w="2051"/>
          </w:tcPr>
          <w:p>
            <w:r/>
            <w:r>
              <w:rPr>
                <w:rFonts w:ascii="Times New Roman" w:hAnsi="Times New Roman"/>
                <w:b w:val="0"/>
                <w:sz w:val="16"/>
              </w:rPr>
              <w:t>+3.2</w:t>
            </w:r>
          </w:p>
        </w:tc>
        <w:tc>
          <w:tcPr>
            <w:tcW w:type="dxa" w:w="2051"/>
          </w:tcPr>
          <w:p>
            <w:r/>
            <w:r>
              <w:rPr>
                <w:rFonts w:ascii="Times New Roman" w:hAnsi="Times New Roman"/>
                <w:b w:val="0"/>
                <w:sz w:val="16"/>
              </w:rPr>
              <w:t>+3.2</w:t>
            </w:r>
          </w:p>
        </w:tc>
      </w:tr>
      <w:tr>
        <w:tc>
          <w:tcPr>
            <w:tcW w:type="dxa" w:w="2051"/>
          </w:tcPr>
          <w:p>
            <w:r/>
            <w:r>
              <w:rPr>
                <w:rFonts w:ascii="Times New Roman" w:hAnsi="Times New Roman"/>
                <w:b w:val="0"/>
                <w:sz w:val="16"/>
              </w:rPr>
              <w:t>Headline quality</w:t>
            </w:r>
          </w:p>
        </w:tc>
        <w:tc>
          <w:tcPr>
            <w:tcW w:type="dxa" w:w="2051"/>
          </w:tcPr>
          <w:p>
            <w:r/>
            <w:r>
              <w:rPr>
                <w:rFonts w:ascii="Times New Roman" w:hAnsi="Times New Roman"/>
                <w:b w:val="0"/>
                <w:sz w:val="16"/>
              </w:rPr>
              <w:t>8–10</w:t>
            </w:r>
          </w:p>
        </w:tc>
        <w:tc>
          <w:tcPr>
            <w:tcW w:type="dxa" w:w="2051"/>
          </w:tcPr>
          <w:p>
            <w:r/>
            <w:r>
              <w:rPr>
                <w:rFonts w:ascii="Times New Roman" w:hAnsi="Times New Roman"/>
                <w:b w:val="0"/>
                <w:sz w:val="16"/>
              </w:rPr>
              <w:t>4 / 124</w:t>
            </w:r>
          </w:p>
        </w:tc>
        <w:tc>
          <w:tcPr>
            <w:tcW w:type="dxa" w:w="2051"/>
          </w:tcPr>
          <w:p>
            <w:r/>
            <w:r>
              <w:rPr>
                <w:rFonts w:ascii="Times New Roman" w:hAnsi="Times New Roman"/>
                <w:b w:val="0"/>
                <w:sz w:val="16"/>
              </w:rPr>
              <w:t>−10.0</w:t>
            </w:r>
          </w:p>
        </w:tc>
        <w:tc>
          <w:tcPr>
            <w:tcW w:type="dxa" w:w="2051"/>
          </w:tcPr>
          <w:p>
            <w:r/>
            <w:r>
              <w:rPr>
                <w:rFonts w:ascii="Times New Roman" w:hAnsi="Times New Roman"/>
                <w:b w:val="0"/>
                <w:sz w:val="16"/>
              </w:rPr>
              <w:t>0</w:t>
            </w:r>
          </w:p>
        </w:tc>
      </w:tr>
      <w:tr>
        <w:tc>
          <w:tcPr>
            <w:tcW w:type="dxa" w:w="2051"/>
          </w:tcPr>
          <w:p>
            <w:r/>
            <w:r>
              <w:rPr>
                <w:rFonts w:ascii="Times New Roman" w:hAnsi="Times New Roman"/>
                <w:b w:val="0"/>
                <w:sz w:val="16"/>
              </w:rPr>
              <w:t>Language (bias)</w:t>
            </w:r>
          </w:p>
        </w:tc>
        <w:tc>
          <w:tcPr>
            <w:tcW w:type="dxa" w:w="2051"/>
          </w:tcPr>
          <w:p>
            <w:r/>
            <w:r>
              <w:rPr>
                <w:rFonts w:ascii="Times New Roman" w:hAnsi="Times New Roman"/>
                <w:b w:val="0"/>
                <w:sz w:val="16"/>
              </w:rPr>
              <w:t>0–2</w:t>
            </w:r>
          </w:p>
        </w:tc>
        <w:tc>
          <w:tcPr>
            <w:tcW w:type="dxa" w:w="2051"/>
          </w:tcPr>
          <w:p>
            <w:r/>
            <w:r>
              <w:rPr>
                <w:rFonts w:ascii="Times New Roman" w:hAnsi="Times New Roman"/>
                <w:b w:val="0"/>
                <w:sz w:val="16"/>
              </w:rPr>
              <w:t>93 / 0</w:t>
            </w:r>
          </w:p>
        </w:tc>
        <w:tc>
          <w:tcPr>
            <w:tcW w:type="dxa" w:w="2051"/>
          </w:tcPr>
          <w:p>
            <w:r/>
            <w:r>
              <w:rPr>
                <w:rFonts w:ascii="Times New Roman" w:hAnsi="Times New Roman"/>
                <w:b w:val="0"/>
                <w:sz w:val="16"/>
              </w:rPr>
              <w:t>+11.2</w:t>
            </w:r>
          </w:p>
        </w:tc>
        <w:tc>
          <w:tcPr>
            <w:tcW w:type="dxa" w:w="2051"/>
          </w:tcPr>
          <w:p>
            <w:r/>
            <w:r>
              <w:rPr>
                <w:rFonts w:ascii="Times New Roman" w:hAnsi="Times New Roman"/>
                <w:b w:val="0"/>
                <w:sz w:val="16"/>
              </w:rPr>
              <w:t>+11.2</w:t>
            </w:r>
          </w:p>
        </w:tc>
      </w:tr>
      <w:tr>
        <w:tc>
          <w:tcPr>
            <w:tcW w:type="dxa" w:w="2051"/>
          </w:tcPr>
          <w:p>
            <w:r/>
            <w:r>
              <w:rPr>
                <w:rFonts w:ascii="Times New Roman" w:hAnsi="Times New Roman"/>
                <w:b w:val="0"/>
                <w:sz w:val="16"/>
              </w:rPr>
              <w:t>Language (bias)</w:t>
            </w:r>
          </w:p>
        </w:tc>
        <w:tc>
          <w:tcPr>
            <w:tcW w:type="dxa" w:w="2051"/>
          </w:tcPr>
          <w:p>
            <w:r/>
            <w:r>
              <w:rPr>
                <w:rFonts w:ascii="Times New Roman" w:hAnsi="Times New Roman"/>
                <w:b w:val="0"/>
                <w:sz w:val="16"/>
              </w:rPr>
              <w:t>2–4</w:t>
            </w:r>
          </w:p>
        </w:tc>
        <w:tc>
          <w:tcPr>
            <w:tcW w:type="dxa" w:w="2051"/>
          </w:tcPr>
          <w:p>
            <w:r/>
            <w:r>
              <w:rPr>
                <w:rFonts w:ascii="Times New Roman" w:hAnsi="Times New Roman"/>
                <w:b w:val="0"/>
                <w:sz w:val="16"/>
              </w:rPr>
              <w:t>17 / 2</w:t>
            </w:r>
          </w:p>
        </w:tc>
        <w:tc>
          <w:tcPr>
            <w:tcW w:type="dxa" w:w="2051"/>
          </w:tcPr>
          <w:p>
            <w:r/>
            <w:r>
              <w:rPr>
                <w:rFonts w:ascii="Times New Roman" w:hAnsi="Times New Roman"/>
                <w:b w:val="0"/>
                <w:sz w:val="16"/>
              </w:rPr>
              <w:t>+3.3</w:t>
            </w:r>
          </w:p>
        </w:tc>
        <w:tc>
          <w:tcPr>
            <w:tcW w:type="dxa" w:w="2051"/>
          </w:tcPr>
          <w:p>
            <w:r/>
            <w:r>
              <w:rPr>
                <w:rFonts w:ascii="Times New Roman" w:hAnsi="Times New Roman"/>
                <w:b w:val="0"/>
                <w:sz w:val="16"/>
              </w:rPr>
              <w:t>+3.3</w:t>
            </w:r>
          </w:p>
        </w:tc>
      </w:tr>
      <w:tr>
        <w:tc>
          <w:tcPr>
            <w:tcW w:type="dxa" w:w="2051"/>
          </w:tcPr>
          <w:p>
            <w:r/>
            <w:r>
              <w:rPr>
                <w:rFonts w:ascii="Times New Roman" w:hAnsi="Times New Roman"/>
                <w:b w:val="0"/>
                <w:sz w:val="16"/>
              </w:rPr>
              <w:t>Language (bias)</w:t>
            </w:r>
          </w:p>
        </w:tc>
        <w:tc>
          <w:tcPr>
            <w:tcW w:type="dxa" w:w="2051"/>
          </w:tcPr>
          <w:p>
            <w:r/>
            <w:r>
              <w:rPr>
                <w:rFonts w:ascii="Times New Roman" w:hAnsi="Times New Roman"/>
                <w:b w:val="0"/>
                <w:sz w:val="16"/>
              </w:rPr>
              <w:t>6–8</w:t>
            </w:r>
          </w:p>
        </w:tc>
        <w:tc>
          <w:tcPr>
            <w:tcW w:type="dxa" w:w="2051"/>
          </w:tcPr>
          <w:p>
            <w:r/>
            <w:r>
              <w:rPr>
                <w:rFonts w:ascii="Times New Roman" w:hAnsi="Times New Roman"/>
                <w:b w:val="0"/>
                <w:sz w:val="16"/>
              </w:rPr>
              <w:t>1 / 22</w:t>
            </w:r>
          </w:p>
        </w:tc>
        <w:tc>
          <w:tcPr>
            <w:tcW w:type="dxa" w:w="2051"/>
          </w:tcPr>
          <w:p>
            <w:r/>
            <w:r>
              <w:rPr>
                <w:rFonts w:ascii="Times New Roman" w:hAnsi="Times New Roman"/>
                <w:b w:val="0"/>
                <w:sz w:val="16"/>
              </w:rPr>
              <w:t>−4.1</w:t>
            </w:r>
          </w:p>
        </w:tc>
        <w:tc>
          <w:tcPr>
            <w:tcW w:type="dxa" w:w="2051"/>
          </w:tcPr>
          <w:p>
            <w:r/>
            <w:r>
              <w:rPr>
                <w:rFonts w:ascii="Times New Roman" w:hAnsi="Times New Roman"/>
                <w:b w:val="0"/>
                <w:sz w:val="16"/>
              </w:rPr>
              <w:t>0</w:t>
            </w:r>
          </w:p>
        </w:tc>
      </w:tr>
      <w:tr>
        <w:tc>
          <w:tcPr>
            <w:tcW w:type="dxa" w:w="2051"/>
          </w:tcPr>
          <w:p>
            <w:r/>
            <w:r>
              <w:rPr>
                <w:rFonts w:ascii="Times New Roman" w:hAnsi="Times New Roman"/>
                <w:b w:val="0"/>
                <w:sz w:val="16"/>
              </w:rPr>
              <w:t>Language (bias)</w:t>
            </w:r>
          </w:p>
        </w:tc>
        <w:tc>
          <w:tcPr>
            <w:tcW w:type="dxa" w:w="2051"/>
          </w:tcPr>
          <w:p>
            <w:r/>
            <w:r>
              <w:rPr>
                <w:rFonts w:ascii="Times New Roman" w:hAnsi="Times New Roman"/>
                <w:b w:val="0"/>
                <w:sz w:val="16"/>
              </w:rPr>
              <w:t>8–10</w:t>
            </w:r>
          </w:p>
        </w:tc>
        <w:tc>
          <w:tcPr>
            <w:tcW w:type="dxa" w:w="2051"/>
          </w:tcPr>
          <w:p>
            <w:r/>
            <w:r>
              <w:rPr>
                <w:rFonts w:ascii="Times New Roman" w:hAnsi="Times New Roman"/>
                <w:b w:val="0"/>
                <w:sz w:val="16"/>
              </w:rPr>
              <w:t>1 / 100</w:t>
            </w:r>
          </w:p>
        </w:tc>
        <w:tc>
          <w:tcPr>
            <w:tcW w:type="dxa" w:w="2051"/>
          </w:tcPr>
          <w:p>
            <w:r/>
            <w:r>
              <w:rPr>
                <w:rFonts w:ascii="Times New Roman" w:hAnsi="Times New Roman"/>
                <w:b w:val="0"/>
                <w:sz w:val="16"/>
              </w:rPr>
              <w:t>−10.8</w:t>
            </w:r>
          </w:p>
        </w:tc>
        <w:tc>
          <w:tcPr>
            <w:tcW w:type="dxa" w:w="2051"/>
          </w:tcPr>
          <w:p>
            <w:r/>
            <w:r>
              <w:rPr>
                <w:rFonts w:ascii="Times New Roman" w:hAnsi="Times New Roman"/>
                <w:b w:val="0"/>
                <w:sz w:val="16"/>
              </w:rPr>
              <w:t>0</w:t>
            </w:r>
          </w:p>
        </w:tc>
      </w:tr>
      <w:tr>
        <w:tc>
          <w:tcPr>
            <w:tcW w:type="dxa" w:w="2051"/>
          </w:tcPr>
          <w:p>
            <w:r/>
            <w:r>
              <w:rPr>
                <w:rFonts w:ascii="Times New Roman" w:hAnsi="Times New Roman"/>
                <w:b w:val="0"/>
                <w:sz w:val="16"/>
              </w:rPr>
              <w:t>Persuasion technique</w:t>
            </w:r>
          </w:p>
        </w:tc>
        <w:tc>
          <w:tcPr>
            <w:tcW w:type="dxa" w:w="2051"/>
          </w:tcPr>
          <w:p>
            <w:r/>
            <w:r>
              <w:rPr>
                <w:rFonts w:ascii="Times New Roman" w:hAnsi="Times New Roman"/>
                <w:b w:val="0"/>
                <w:sz w:val="16"/>
              </w:rPr>
              <w:t>2–4</w:t>
            </w:r>
          </w:p>
        </w:tc>
        <w:tc>
          <w:tcPr>
            <w:tcW w:type="dxa" w:w="2051"/>
          </w:tcPr>
          <w:p>
            <w:r/>
            <w:r>
              <w:rPr>
                <w:rFonts w:ascii="Times New Roman" w:hAnsi="Times New Roman"/>
                <w:b w:val="0"/>
                <w:sz w:val="16"/>
              </w:rPr>
              <w:t>106 / 38</w:t>
            </w:r>
          </w:p>
        </w:tc>
        <w:tc>
          <w:tcPr>
            <w:tcW w:type="dxa" w:w="2051"/>
          </w:tcPr>
          <w:p>
            <w:r/>
            <w:r>
              <w:rPr>
                <w:rFonts w:ascii="Times New Roman" w:hAnsi="Times New Roman"/>
                <w:b w:val="0"/>
                <w:sz w:val="16"/>
              </w:rPr>
              <w:t>+3.8</w:t>
            </w:r>
          </w:p>
        </w:tc>
        <w:tc>
          <w:tcPr>
            <w:tcW w:type="dxa" w:w="2051"/>
          </w:tcPr>
          <w:p>
            <w:r/>
            <w:r>
              <w:rPr>
                <w:rFonts w:ascii="Times New Roman" w:hAnsi="Times New Roman"/>
                <w:b w:val="0"/>
                <w:sz w:val="16"/>
              </w:rPr>
              <w:t>+3.8</w:t>
            </w:r>
          </w:p>
        </w:tc>
      </w:tr>
      <w:tr>
        <w:tc>
          <w:tcPr>
            <w:tcW w:type="dxa" w:w="2051"/>
          </w:tcPr>
          <w:p>
            <w:r/>
            <w:r>
              <w:rPr>
                <w:rFonts w:ascii="Times New Roman" w:hAnsi="Times New Roman"/>
                <w:b w:val="0"/>
                <w:sz w:val="16"/>
              </w:rPr>
              <w:t>Persuasion technique</w:t>
            </w:r>
          </w:p>
        </w:tc>
        <w:tc>
          <w:tcPr>
            <w:tcW w:type="dxa" w:w="2051"/>
          </w:tcPr>
          <w:p>
            <w:r/>
            <w:r>
              <w:rPr>
                <w:rFonts w:ascii="Times New Roman" w:hAnsi="Times New Roman"/>
                <w:b w:val="0"/>
                <w:sz w:val="16"/>
              </w:rPr>
              <w:t>4–6</w:t>
            </w:r>
          </w:p>
        </w:tc>
        <w:tc>
          <w:tcPr>
            <w:tcW w:type="dxa" w:w="2051"/>
          </w:tcPr>
          <w:p>
            <w:r/>
            <w:r>
              <w:rPr>
                <w:rFonts w:ascii="Times New Roman" w:hAnsi="Times New Roman"/>
                <w:b w:val="0"/>
                <w:sz w:val="16"/>
              </w:rPr>
              <w:t>5 / 52</w:t>
            </w:r>
          </w:p>
        </w:tc>
        <w:tc>
          <w:tcPr>
            <w:tcW w:type="dxa" w:w="2051"/>
          </w:tcPr>
          <w:p>
            <w:r/>
            <w:r>
              <w:rPr>
                <w:rFonts w:ascii="Times New Roman" w:hAnsi="Times New Roman"/>
                <w:b w:val="0"/>
                <w:sz w:val="16"/>
              </w:rPr>
              <w:t>−5.6</w:t>
            </w:r>
          </w:p>
        </w:tc>
        <w:tc>
          <w:tcPr>
            <w:tcW w:type="dxa" w:w="2051"/>
          </w:tcPr>
          <w:p>
            <w:r/>
            <w:r>
              <w:rPr>
                <w:rFonts w:ascii="Times New Roman" w:hAnsi="Times New Roman"/>
                <w:b w:val="0"/>
                <w:sz w:val="16"/>
              </w:rPr>
              <w:t>0</w:t>
            </w:r>
          </w:p>
        </w:tc>
      </w:tr>
      <w:tr>
        <w:tc>
          <w:tcPr>
            <w:tcW w:type="dxa" w:w="2051"/>
          </w:tcPr>
          <w:p>
            <w:r/>
            <w:r>
              <w:rPr>
                <w:rFonts w:ascii="Times New Roman" w:hAnsi="Times New Roman"/>
                <w:b w:val="0"/>
                <w:sz w:val="16"/>
              </w:rPr>
              <w:t>Persuasion technique</w:t>
            </w:r>
          </w:p>
        </w:tc>
        <w:tc>
          <w:tcPr>
            <w:tcW w:type="dxa" w:w="2051"/>
          </w:tcPr>
          <w:p>
            <w:r/>
            <w:r>
              <w:rPr>
                <w:rFonts w:ascii="Times New Roman" w:hAnsi="Times New Roman"/>
                <w:b w:val="0"/>
                <w:sz w:val="16"/>
              </w:rPr>
              <w:t>8–10</w:t>
            </w:r>
          </w:p>
        </w:tc>
        <w:tc>
          <w:tcPr>
            <w:tcW w:type="dxa" w:w="2051"/>
          </w:tcPr>
          <w:p>
            <w:r/>
            <w:r>
              <w:rPr>
                <w:rFonts w:ascii="Times New Roman" w:hAnsi="Times New Roman"/>
                <w:b w:val="0"/>
                <w:sz w:val="16"/>
              </w:rPr>
              <w:t>0 / 21</w:t>
            </w:r>
          </w:p>
        </w:tc>
        <w:tc>
          <w:tcPr>
            <w:tcW w:type="dxa" w:w="2051"/>
          </w:tcPr>
          <w:p>
            <w:r/>
            <w:r>
              <w:rPr>
                <w:rFonts w:ascii="Times New Roman" w:hAnsi="Times New Roman"/>
                <w:b w:val="0"/>
                <w:sz w:val="16"/>
              </w:rPr>
              <w:t>−3.7</w:t>
            </w:r>
          </w:p>
        </w:tc>
        <w:tc>
          <w:tcPr>
            <w:tcW w:type="dxa" w:w="2051"/>
          </w:tcPr>
          <w:p>
            <w:r/>
            <w:r>
              <w:rPr>
                <w:rFonts w:ascii="Times New Roman" w:hAnsi="Times New Roman"/>
                <w:b w:val="0"/>
                <w:sz w:val="16"/>
              </w:rPr>
              <w:t>0</w:t>
            </w:r>
          </w:p>
        </w:tc>
      </w:tr>
      <w:tr>
        <w:tc>
          <w:tcPr>
            <w:tcW w:type="dxa" w:w="2051"/>
          </w:tcPr>
          <w:p>
            <w:r/>
            <w:r>
              <w:rPr>
                <w:rFonts w:ascii="Times New Roman" w:hAnsi="Times New Roman"/>
                <w:b w:val="0"/>
                <w:sz w:val="16"/>
              </w:rPr>
              <w:t>Source transparency</w:t>
            </w:r>
          </w:p>
        </w:tc>
        <w:tc>
          <w:tcPr>
            <w:tcW w:type="dxa" w:w="2051"/>
          </w:tcPr>
          <w:p>
            <w:r/>
            <w:r>
              <w:rPr>
                <w:rFonts w:ascii="Times New Roman" w:hAnsi="Times New Roman"/>
                <w:b w:val="0"/>
                <w:sz w:val="16"/>
              </w:rPr>
              <w:t>2–4</w:t>
            </w:r>
          </w:p>
        </w:tc>
        <w:tc>
          <w:tcPr>
            <w:tcW w:type="dxa" w:w="2051"/>
          </w:tcPr>
          <w:p>
            <w:r/>
            <w:r>
              <w:rPr>
                <w:rFonts w:ascii="Times New Roman" w:hAnsi="Times New Roman"/>
                <w:b w:val="0"/>
                <w:sz w:val="16"/>
              </w:rPr>
              <w:t>22 / 7</w:t>
            </w:r>
          </w:p>
        </w:tc>
        <w:tc>
          <w:tcPr>
            <w:tcW w:type="dxa" w:w="2051"/>
          </w:tcPr>
          <w:p>
            <w:r/>
            <w:r>
              <w:rPr>
                <w:rFonts w:ascii="Times New Roman" w:hAnsi="Times New Roman"/>
                <w:b w:val="0"/>
                <w:sz w:val="16"/>
              </w:rPr>
              <w:t>+1.9</w:t>
            </w:r>
          </w:p>
        </w:tc>
        <w:tc>
          <w:tcPr>
            <w:tcW w:type="dxa" w:w="2051"/>
          </w:tcPr>
          <w:p>
            <w:r/>
            <w:r>
              <w:rPr>
                <w:rFonts w:ascii="Times New Roman" w:hAnsi="Times New Roman"/>
                <w:b w:val="0"/>
                <w:sz w:val="16"/>
              </w:rPr>
              <w:t>+1.9</w:t>
            </w:r>
          </w:p>
        </w:tc>
      </w:tr>
      <w:tr>
        <w:tc>
          <w:tcPr>
            <w:tcW w:type="dxa" w:w="2051"/>
          </w:tcPr>
          <w:p>
            <w:r/>
            <w:r>
              <w:rPr>
                <w:rFonts w:ascii="Times New Roman" w:hAnsi="Times New Roman"/>
                <w:b w:val="0"/>
                <w:sz w:val="16"/>
              </w:rPr>
              <w:t>Source transparency</w:t>
            </w:r>
          </w:p>
        </w:tc>
        <w:tc>
          <w:tcPr>
            <w:tcW w:type="dxa" w:w="2051"/>
          </w:tcPr>
          <w:p>
            <w:r/>
            <w:r>
              <w:rPr>
                <w:rFonts w:ascii="Times New Roman" w:hAnsi="Times New Roman"/>
                <w:b w:val="0"/>
                <w:sz w:val="16"/>
              </w:rPr>
              <w:t>8–10</w:t>
            </w:r>
          </w:p>
        </w:tc>
        <w:tc>
          <w:tcPr>
            <w:tcW w:type="dxa" w:w="2051"/>
          </w:tcPr>
          <w:p>
            <w:r/>
            <w:r>
              <w:rPr>
                <w:rFonts w:ascii="Times New Roman" w:hAnsi="Times New Roman"/>
                <w:b w:val="0"/>
                <w:sz w:val="16"/>
              </w:rPr>
              <w:t>26 / 82</w:t>
            </w:r>
          </w:p>
        </w:tc>
        <w:tc>
          <w:tcPr>
            <w:tcW w:type="dxa" w:w="2051"/>
          </w:tcPr>
          <w:p>
            <w:r/>
            <w:r>
              <w:rPr>
                <w:rFonts w:ascii="Times New Roman" w:hAnsi="Times New Roman"/>
                <w:b w:val="0"/>
                <w:sz w:val="16"/>
              </w:rPr>
              <w:t>−2.8</w:t>
            </w:r>
          </w:p>
        </w:tc>
        <w:tc>
          <w:tcPr>
            <w:tcW w:type="dxa" w:w="2051"/>
          </w:tcPr>
          <w:p>
            <w:r/>
            <w:r>
              <w:rPr>
                <w:rFonts w:ascii="Times New Roman" w:hAnsi="Times New Roman"/>
                <w:b w:val="0"/>
                <w:sz w:val="16"/>
              </w:rPr>
              <w:t>0</w:t>
            </w:r>
          </w:p>
        </w:tc>
      </w:tr>
      <w:tr>
        <w:tc>
          <w:tcPr>
            <w:tcW w:type="dxa" w:w="2051"/>
          </w:tcPr>
          <w:p>
            <w:r/>
            <w:r>
              <w:rPr>
                <w:rFonts w:ascii="Times New Roman" w:hAnsi="Times New Roman"/>
                <w:b w:val="0"/>
                <w:sz w:val="16"/>
              </w:rPr>
              <w:t>Source reputation</w:t>
            </w:r>
          </w:p>
        </w:tc>
        <w:tc>
          <w:tcPr>
            <w:tcW w:type="dxa" w:w="2051"/>
          </w:tcPr>
          <w:p>
            <w:r/>
            <w:r>
              <w:rPr>
                <w:rFonts w:ascii="Times New Roman" w:hAnsi="Times New Roman"/>
                <w:b w:val="0"/>
                <w:sz w:val="16"/>
              </w:rPr>
              <w:t>all bands</w:t>
            </w:r>
          </w:p>
        </w:tc>
        <w:tc>
          <w:tcPr>
            <w:tcW w:type="dxa" w:w="2051"/>
          </w:tcPr>
          <w:p>
            <w:r/>
            <w:r>
              <w:rPr>
                <w:rFonts w:ascii="Times New Roman" w:hAnsi="Times New Roman"/>
                <w:b w:val="0"/>
                <w:sz w:val="16"/>
              </w:rPr>
              <w:t>361 / 378</w:t>
            </w:r>
          </w:p>
        </w:tc>
        <w:tc>
          <w:tcPr>
            <w:tcW w:type="dxa" w:w="2051"/>
          </w:tcPr>
          <w:p>
            <w:r/>
            <w:r>
              <w:rPr>
                <w:rFonts w:ascii="Times New Roman" w:hAnsi="Times New Roman"/>
                <w:b w:val="0"/>
                <w:sz w:val="16"/>
              </w:rPr>
              <w:t>0</w:t>
            </w:r>
          </w:p>
        </w:tc>
        <w:tc>
          <w:tcPr>
            <w:tcW w:type="dxa" w:w="2051"/>
          </w:tcPr>
          <w:p>
            <w:r/>
            <w:r>
              <w:rPr>
                <w:rFonts w:ascii="Times New Roman" w:hAnsi="Times New Roman"/>
                <w:b w:val="0"/>
                <w:sz w:val="16"/>
              </w:rPr>
              <w:t>0</w:t>
            </w:r>
          </w:p>
        </w:tc>
      </w:tr>
    </w:tbl>
    <w:p>
      <w:pPr>
        <w:spacing w:before="0" w:after="80"/>
        <w:jc w:val="both"/>
      </w:pPr>
      <w:r>
        <w:rPr>
          <w:rFonts w:ascii="Times New Roman" w:hAnsi="Times New Roman"/>
          <w:b w:val="0"/>
          <w:i w:val="0"/>
          <w:sz w:val="8"/>
        </w:rPr>
        <w:t xml:space="preserve"> </w:t>
      </w:r>
    </w:p>
    <w:p>
      <w:pPr>
        <w:spacing w:before="0" w:after="120"/>
        <w:jc w:val="both"/>
      </w:pPr>
      <w:r>
        <w:rPr>
          <w:rFonts w:ascii="Times New Roman" w:hAnsi="Times New Roman"/>
          <w:b w:val="0"/>
          <w:i w:val="0"/>
          <w:sz w:val="20"/>
        </w:rPr>
        <w:t>Bands omitted from the table are those where the counts were too thin for the interval to exclude a ratio of one; each contributes exactly zero and is named as unmeasured in the report rather than receiving an assigned weight. Source reputation measures zero because source identity is hidden on this corpus to defeat its label leak; provenance enters through the prior instead.</w:t>
      </w:r>
    </w:p>
    <w:p>
      <w:pPr>
        <w:spacing w:before="0" w:after="120"/>
        <w:jc w:val="both"/>
      </w:pPr>
      <w:r>
        <w:rPr>
          <w:rFonts w:ascii="Times New Roman" w:hAnsi="Times New Roman"/>
          <w:b w:val="0"/>
          <w:i w:val="0"/>
          <w:sz w:val="20"/>
        </w:rPr>
        <w:t>Transparency is newly measurable. On the previous corpus it had 18 labelled examples and contributed nothing; with 239 it separates the classes weakly but in the expected direction, and now carries a small admitted weight.</w:t>
      </w:r>
    </w:p>
    <w:p>
      <w:pPr>
        <w:spacing w:before="0" w:after="120"/>
        <w:jc w:val="both"/>
      </w:pPr>
      <w:r>
        <w:rPr>
          <w:rFonts w:ascii="Times New Roman" w:hAnsi="Times New Roman"/>
          <w:b w:val="0"/>
          <w:i w:val="0"/>
          <w:sz w:val="20"/>
        </w:rPr>
        <w:t>The style family is damped by 0.379 — four checks correlating at a mean r = 0.55 are 1.52 effective independent factors, not four — and capped at 8 db in total. The strongest pair is headline quality and language, at r = 0.93: on this corpus they are very nearly one observation reported twice, which is what the damping exists to prevent.</w:t>
      </w:r>
    </w:p>
    <w:p>
      <w:pPr>
        <w:spacing w:before="0" w:after="120"/>
        <w:jc w:val="both"/>
      </w:pPr>
      <w:r>
        <w:rPr>
          <w:rFonts w:ascii="Times New Roman" w:hAnsi="Times New Roman"/>
          <w:b w:val="0"/>
          <w:i w:val="0"/>
          <w:sz w:val="20"/>
        </w:rPr>
        <w:t>Declared, not measured. The provenance priors (0.02 to 0.35 by publisher band), the five-way corroboration distribution, and the style cap are stated parameters, labelled as declared in every report.</w:t>
      </w:r>
    </w:p>
    <w:sectPr w:rsidR="00FC693F" w:rsidRPr="0006063C" w:rsidSect="00034616">
      <w:type w:val="continuous"/>
      <w:pgSz w:w="12240" w:h="15840"/>
      <w:pgMar w:top="1077" w:right="992" w:bottom="992" w:left="992" w:header="720" w:footer="720" w:gutter="0"/>
      <w:cols w:space="238"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Times New Roman" w:hAnsi="Times New Roman" w:cs="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