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/>
      </w:pPr>
      <w:r>
        <w:rPr/>
        <w:t>Reconnaissance</w:t>
      </w:r>
    </w:p>
    <w:p>
      <w:pPr>
        <w:pStyle w:val="Normal"/>
        <w:numPr>
          <w:ilvl w:val="0"/>
          <w:numId w:val="1"/>
        </w:numPr>
        <w:rPr/>
      </w:pPr>
      <w:r>
        <w:rPr/>
        <w:t>Enumeration</w:t>
      </w:r>
    </w:p>
    <w:p>
      <w:pPr>
        <w:pStyle w:val="Normal"/>
        <w:numPr>
          <w:ilvl w:val="0"/>
          <w:numId w:val="1"/>
        </w:numPr>
        <w:rPr/>
      </w:pPr>
      <w:r>
        <w:rPr/>
        <w:t>Vulnerability scanning</w:t>
      </w:r>
    </w:p>
    <w:p>
      <w:pPr>
        <w:pStyle w:val="Normal"/>
        <w:numPr>
          <w:ilvl w:val="0"/>
          <w:numId w:val="1"/>
        </w:numPr>
        <w:rPr/>
      </w:pPr>
      <w:r>
        <w:rPr/>
        <w:t>Credential attacks</w:t>
      </w:r>
    </w:p>
    <w:p>
      <w:pPr>
        <w:pStyle w:val="Normal"/>
        <w:numPr>
          <w:ilvl w:val="0"/>
          <w:numId w:val="1"/>
        </w:numPr>
        <w:rPr/>
      </w:pPr>
      <w:r>
        <w:rPr/>
        <w:t>Persistence</w:t>
      </w:r>
    </w:p>
    <w:p>
      <w:pPr>
        <w:pStyle w:val="Normal"/>
        <w:numPr>
          <w:ilvl w:val="0"/>
          <w:numId w:val="1"/>
        </w:numPr>
        <w:rPr/>
      </w:pPr>
      <w:r>
        <w:rPr/>
        <w:t>Configuration compliance</w:t>
      </w:r>
    </w:p>
    <w:p>
      <w:pPr>
        <w:pStyle w:val="Normal"/>
        <w:numPr>
          <w:ilvl w:val="0"/>
          <w:numId w:val="1"/>
        </w:numPr>
        <w:rPr/>
      </w:pPr>
      <w:r>
        <w:rPr/>
        <w:t>Evasion</w:t>
      </w:r>
    </w:p>
    <w:p>
      <w:pPr>
        <w:pStyle w:val="Normal"/>
        <w:numPr>
          <w:ilvl w:val="0"/>
          <w:numId w:val="1"/>
        </w:numPr>
        <w:rPr/>
      </w:pPr>
      <w:r>
        <w:rPr/>
        <w:t>Decompilation</w:t>
      </w:r>
    </w:p>
    <w:p>
      <w:pPr>
        <w:pStyle w:val="Normal"/>
        <w:numPr>
          <w:ilvl w:val="0"/>
          <w:numId w:val="1"/>
        </w:numPr>
        <w:rPr/>
      </w:pPr>
      <w:r>
        <w:rPr/>
        <w:t>Forensics</w:t>
      </w:r>
    </w:p>
    <w:p>
      <w:pPr>
        <w:pStyle w:val="Normal"/>
        <w:numPr>
          <w:ilvl w:val="0"/>
          <w:numId w:val="1"/>
        </w:numPr>
        <w:rPr/>
      </w:pPr>
      <w:r>
        <w:rPr/>
        <w:t>Debugging</w:t>
      </w:r>
    </w:p>
    <w:p>
      <w:pPr>
        <w:pStyle w:val="Normal"/>
        <w:numPr>
          <w:ilvl w:val="0"/>
          <w:numId w:val="1"/>
        </w:numPr>
        <w:rPr/>
      </w:pPr>
      <w:r>
        <w:rPr/>
        <w:t>Software assurance (including fuzzing, static application security testing [SAST], and dynamic application security testing [DAST])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ind w:hanging="0" w:left="0" w:right="0"/>
        <w:rPr>
          <w:rFonts w:ascii="CiscoSansTT;Arial;sans-serif" w:hAnsi="CiscoSansTT;Arial;sans-serif"/>
          <w:b/>
          <w:sz w:val="50"/>
        </w:rPr>
      </w:pPr>
      <w:r>
        <w:rPr>
          <w:rFonts w:ascii="CiscoSansTT;Arial;sans-serif" w:hAnsi="CiscoSansTT;Arial;sans-serif"/>
          <w:b/>
          <w:sz w:val="50"/>
        </w:rPr>
        <w:t>10.2.5 Common Tools for Vulnerability Scanning</w:t>
      </w:r>
    </w:p>
    <w:p>
      <w:pPr>
        <w:pStyle w:val="BodyText"/>
        <w:widowControl/>
        <w:spacing w:lineRule="auto" w:line="278" w:before="0" w:after="150"/>
        <w:ind w:hanging="0" w:left="0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There are numerous vulnerability scanning tools, including open-source and commercial vulnerability scanners, as well as cloud-based services and tools. The following are some of the most popular vulnerability scanners: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OpenVAS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Nessus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Nexpose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Qualys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SQLmap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Nikto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OWASP Zed Attack Proxy (ZAP)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w3af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DirBuster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Brakeman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Open Security Content Automation Protocol (SCAP) scanners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Wapiti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Scout Suite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8" w:before="0" w:after="150"/>
        <w:ind w:hanging="0" w:left="709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WPScan (Wordpress scanner)</w:t>
      </w:r>
    </w:p>
    <w:p>
      <w:pPr>
        <w:pStyle w:val="BodyText"/>
        <w:widowControl/>
        <w:spacing w:lineRule="auto" w:line="278" w:before="0" w:after="300"/>
        <w:ind w:hanging="0" w:left="0" w:right="0"/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6" w:space="1" w:color="00BCEB"/>
          <w:shd w:fill="E8EBF1" w:val="clear"/>
          <w14:textFill>
            <w14:solidFill>
              <w14:srgbClr w14:val="000000">
                <w14:alpha w14:val="90000"/>
              </w14:srgbClr>
            </w14:solidFill>
          </w14:textFill>
        </w:rPr>
      </w:pPr>
      <w:r>
        <w:rPr>
          <w:rFonts w:ascii="CiscoSansTT;Arial;sans-serif" w:hAnsi="CiscoSansTT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6" w:space="1" w:color="00BCEB"/>
          <w:shd w:fill="E8EBF1" w:val="clear"/>
          <w14:textFill>
            <w14:solidFill>
              <w14:srgbClr w14:val="000000">
                <w14:alpha w14:val="90000"/>
              </w14:srgbClr>
            </w14:solidFill>
          </w14:textFill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iscoSansTT">
    <w:altName w:val="Arial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b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d0b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d0b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d0b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d0b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d0b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0b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0b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0b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0b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d0b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d0b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d0b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d0b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0b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d0bc6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d0b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d0b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LibreOffice/25.2.3.2$Linux_X86_64 LibreOffice_project/520$Build-2</Application>
  <AppVersion>15.0000</AppVersion>
  <Pages>2</Pages>
  <Words>115</Words>
  <Characters>682</Characters>
  <CharactersWithSpaces>745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2025-08-20T05:28:00Z</dcterms:created>
  <dc:creator>Arun Adhikari</dc:creator>
  <dc:description/>
  <dc:language>en-IN</dc:language>
  <cp:lastModifiedBy/>
  <dcterms:modified xsi:type="dcterms:W3CDTF">2025-08-20T18:35:27Z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