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rFonts w:ascii="Times New Roman" w:hAnsi="Times New Roman" w:eastAsia="Georgia" w:cs="Times New Roman"/>
          <w:sz w:val="24"/>
          <w:szCs w:val="24"/>
        </w:rPr>
      </w:pPr>
      <w:bookmarkStart w:id="0" w:name="opening_setting_the_scene"/>
      <w:r>
        <w:rPr>
          <w:rFonts w:eastAsia="Georgia" w:cs="Times New Roman" w:ascii="Times New Roman" w:hAnsi="Times New Roman"/>
          <w:sz w:val="24"/>
          <w:szCs w:val="24"/>
        </w:rPr>
        <w:t>Opening</w:t>
      </w:r>
      <w:bookmarkEnd w:id="0"/>
      <w:r>
        <w:rPr>
          <w:rFonts w:eastAsia="Georgia" w:cs="Times New Roman" w:ascii="Times New Roman" w:hAnsi="Times New Roman"/>
          <w:sz w:val="24"/>
          <w:szCs w:val="24"/>
        </w:rPr>
        <w:t xml:space="preserve">, Introduction message </w:t>
      </w:r>
    </w:p>
    <w:p>
      <w:pPr>
        <w:pStyle w:val="Normal"/>
        <w:spacing w:lineRule="auto" w:line="360" w:before="210" w:after="0"/>
        <w:rPr>
          <w:rFonts w:ascii="Times New Roman" w:hAnsi="Times New Roman" w:cs="Times New Roman"/>
          <w:sz w:val="24"/>
          <w:szCs w:val="24"/>
        </w:rPr>
      </w:pPr>
      <w:r>
        <w:rPr>
          <w:rFonts w:eastAsia="Georgia" w:cs="Times New Roman" w:ascii="Times New Roman" w:hAnsi="Times New Roman"/>
          <w:bCs/>
          <w:color w:val="000000"/>
          <w:sz w:val="24"/>
          <w:szCs w:val="24"/>
        </w:rPr>
        <w:t xml:space="preserve">Give basic introduction </w:t>
      </w:r>
    </w:p>
    <w:p>
      <w:pPr>
        <w:pStyle w:val="Heading1"/>
        <w:rPr>
          <w:rFonts w:ascii="Times New Roman" w:hAnsi="Times New Roman" w:cs="Times New Roman"/>
          <w:b/>
          <w:bCs/>
          <w:sz w:val="28"/>
          <w:szCs w:val="28"/>
        </w:rPr>
      </w:pPr>
      <w:bookmarkStart w:id="1" w:name="part_iii_odr_as_access_to_justice_47834c"/>
      <w:r>
        <w:rPr>
          <w:rFonts w:cs="Times New Roman" w:ascii="Times New Roman" w:hAnsi="Times New Roman"/>
          <w:b/>
          <w:bCs/>
          <w:sz w:val="28"/>
          <w:szCs w:val="28"/>
        </w:rPr>
        <w:t>Introductory basic part I - Why Current Digital Clauses are usually unfair?</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b/>
          <w:bCs/>
          <w:sz w:val="24"/>
          <w:szCs w:val="24"/>
        </w:rPr>
        <w:t>Important arguments:</w:t>
      </w:r>
      <w:r>
        <w:rPr>
          <w:rFonts w:cs="Times New Roman" w:ascii="Times New Roman" w:hAnsi="Times New Roman"/>
          <w:sz w:val="24"/>
          <w:szCs w:val="24"/>
        </w:rPr>
        <w:t xml:space="preserve"> Clause writing is power and in these days that power is highly distorted.</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ab/>
        <w:t xml:space="preserve">It is practically found in nearly all platform contracts engaging in e-commerce, gig work and fintech lending where the stronger party drafts the arbitration clause in-house or with ad hoc counsel and drafts model form it can control. The less powerful party, be it a consumer, a worker, or an MSME, lacks the bargaining power and is not provided with a legal advice.  </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ab/>
        <w:t>This often leads to:</w:t>
      </w:r>
    </w:p>
    <w:p>
      <w:pPr>
        <w:pStyle w:val="ListParagraph"/>
        <w:numPr>
          <w:ilvl w:val="0"/>
          <w:numId w:val="2"/>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Arbitration seats that are selected at the convenience of the platform and not the users.</w:t>
      </w:r>
    </w:p>
    <w:p>
      <w:pPr>
        <w:pStyle w:val="ListParagraph"/>
        <w:numPr>
          <w:ilvl w:val="0"/>
          <w:numId w:val="2"/>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Large institutional fees which have the effect of eliminating low-value claims.</w:t>
      </w:r>
    </w:p>
    <w:p>
      <w:pPr>
        <w:pStyle w:val="ListParagraph"/>
        <w:numPr>
          <w:ilvl w:val="0"/>
          <w:numId w:val="2"/>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Personal arbitration and anti-collective redress class-action waivers, particularly in online finance and crypto cases.</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 xml:space="preserve">We are witnessing the increase of mass arbitration all around the globe thousands of almost identical claims being made as a crude market reaction to unilateral individual-arbitration terms. Once you have left single arbitration as the only entrance, people will sooner or later learn to walk through it jointly. (Links: </w:t>
      </w:r>
      <w:hyperlink r:id="rId2">
        <w:r>
          <w:rPr>
            <w:rStyle w:val="Style8"/>
            <w:rFonts w:eastAsia="helvetica neue" w:cs="Times New Roman" w:ascii="Times New Roman" w:hAnsi="Times New Roman"/>
            <w:sz w:val="24"/>
            <w:szCs w:val="24"/>
            <w:u w:val="single"/>
          </w:rPr>
          <w:t>https://www.pib.gov.in/PressReleasePage.aspx?PRID=1776202</w:t>
        </w:r>
      </w:hyperlink>
      <w:r>
        <w:rPr>
          <w:rFonts w:eastAsia="Georgia" w:cs="Times New Roman" w:ascii="Times New Roman" w:hAnsi="Times New Roman"/>
          <w:color w:val="000000"/>
          <w:sz w:val="24"/>
          <w:szCs w:val="24"/>
        </w:rPr>
        <w:t xml:space="preserve">    </w:t>
      </w:r>
      <w:hyperlink r:id="rId3">
        <w:r>
          <w:rPr>
            <w:rStyle w:val="Hyperlink"/>
            <w:rFonts w:eastAsia="helvetica neue" w:cs="Times New Roman" w:ascii="Times New Roman" w:hAnsi="Times New Roman"/>
            <w:sz w:val="24"/>
            <w:szCs w:val="24"/>
          </w:rPr>
          <w:t>https://nliulawreview.nliu.ac.in/blog/revolutionizing-justice-niti-aayogs-odr-blueprint-for-india/</w:t>
        </w:r>
      </w:hyperlink>
      <w:r>
        <w:rPr>
          <w:rFonts w:eastAsia="Georgia" w:cs="Times New Roman" w:ascii="Times New Roman" w:hAnsi="Times New Roman"/>
          <w:color w:val="000000"/>
          <w:sz w:val="24"/>
          <w:szCs w:val="24"/>
        </w:rPr>
        <w:t xml:space="preserve"> </w:t>
      </w:r>
      <w:r>
        <w:rPr>
          <w:rFonts w:cs="Times New Roman" w:ascii="Times New Roman" w:hAnsi="Times New Roman"/>
          <w:sz w:val="24"/>
          <w:szCs w:val="24"/>
        </w:rPr>
        <w:t>)</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The meaning of people-centric clause drafting should then signify:</w:t>
      </w:r>
    </w:p>
    <w:p>
      <w:pPr>
        <w:pStyle w:val="ListParagraph"/>
        <w:numPr>
          <w:ilvl w:val="0"/>
          <w:numId w:val="3"/>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Language used in simple clauses that a non-lawyer can actually comprehend.</w:t>
      </w:r>
    </w:p>
    <w:p>
      <w:pPr>
        <w:pStyle w:val="ListParagraph"/>
        <w:numPr>
          <w:ilvl w:val="0"/>
          <w:numId w:val="3"/>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Seats and venues that are indicative of the weak parties location of residence/work, rather than the location of servers or headquarters.</w:t>
      </w:r>
    </w:p>
    <w:p>
      <w:pPr>
        <w:pStyle w:val="ListParagraph"/>
        <w:numPr>
          <w:ilvl w:val="0"/>
          <w:numId w:val="3"/>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Scaled fee rates based on the value of claims, limited to both consumers and MSMEs.</w:t>
      </w:r>
    </w:p>
    <w:p>
      <w:pPr>
        <w:pStyle w:val="ListParagraph"/>
        <w:numPr>
          <w:ilvl w:val="0"/>
          <w:numId w:val="3"/>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Opt-in policy to collective or representative mechanisms with small but widespread claims.</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Contracts and agreements in Indian courts have never been confused by the use of electronic communication in contracts and arbitration agreements; this is evident in the case of Trimex International FZE v Vedanta Aluminium where email communications were regarded as having the capacity of creating a binding contract. The issue now is not about whether digital contracts would force individuals to be bound but about whether the provisions contained within them are reasonable or not[5][6][7].</w:t>
      </w:r>
    </w:p>
    <w:p>
      <w:pPr>
        <w:pStyle w:val="Heading1"/>
        <w:rPr>
          <w:rFonts w:ascii="Times New Roman" w:hAnsi="Times New Roman" w:cs="Times New Roman"/>
          <w:b/>
          <w:bCs/>
          <w:sz w:val="28"/>
          <w:szCs w:val="28"/>
        </w:rPr>
      </w:pPr>
      <w:r>
        <w:rPr>
          <w:rFonts w:cs="Times New Roman" w:ascii="Times New Roman" w:hAnsi="Times New Roman"/>
          <w:b/>
          <w:bCs/>
          <w:sz w:val="28"/>
          <w:szCs w:val="28"/>
        </w:rPr>
        <w:t>Part II - Law Catching up with the Digital Revolution in Contracts.</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b/>
          <w:bCs/>
          <w:sz w:val="24"/>
          <w:szCs w:val="24"/>
        </w:rPr>
        <w:t>Central arguments:</w:t>
      </w:r>
      <w:r>
        <w:rPr>
          <w:rFonts w:cs="Times New Roman" w:ascii="Times New Roman" w:hAnsi="Times New Roman"/>
          <w:sz w:val="24"/>
          <w:szCs w:val="24"/>
        </w:rPr>
        <w:t xml:space="preserve"> Technology is moving fast; the legal system is not far behind.</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ab/>
        <w:t>Blockchain-based arrangements and smart contracts are becoming more prevalent in intricate commerce and crypto-transactions. Large exchanges, such as the U.S. affiliate of Binance, already use arbitration provisions in the online terms of use against users attempting to pursue a lawsuit in the form of a class action [3][4][8].</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ab/>
        <w:t>The larger legal ecosystem in India is turning more digital-receptive:</w:t>
      </w:r>
    </w:p>
    <w:p>
      <w:pPr>
        <w:pStyle w:val="ListParagraph"/>
        <w:numPr>
          <w:ilvl w:val="0"/>
          <w:numId w:val="4"/>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The Bharatiya Sakshya Adhiniyam, 2023 and the Bharatiya Sakshya Bill consider electronic and digital records as documentary evidence and afford them a similar legal effect as paper documents, broadening the same definition of the word evidence and clarifying the admissibility terms.</w:t>
      </w:r>
    </w:p>
    <w:p>
      <w:pPr>
        <w:pStyle w:val="ListParagraph"/>
        <w:numPr>
          <w:ilvl w:val="0"/>
          <w:numId w:val="4"/>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The policy plan of NITI Aayog on ODR, Designing the Future of Dispute Resolution, recommends structural investment in digital infrastructure, digital literacy, and procedural reform in such a way that ODR becomes a first point contact in small and medium-value disputes.</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Links:</w:t>
      </w:r>
    </w:p>
    <w:p>
      <w:pPr>
        <w:pStyle w:val="ListParagraph"/>
        <w:numPr>
          <w:ilvl w:val="0"/>
          <w:numId w:val="5"/>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 xml:space="preserve">PIB issue: </w:t>
      </w:r>
      <w:hyperlink r:id="rId4">
        <w:r>
          <w:rPr>
            <w:rStyle w:val="Hyperlink"/>
            <w:rFonts w:cs="Times New Roman" w:ascii="Times New Roman" w:hAnsi="Times New Roman"/>
            <w:sz w:val="24"/>
            <w:szCs w:val="24"/>
          </w:rPr>
          <w:t>https://www.pib.gov.in/PressReleasePage.aspx?PRID=1776202</w:t>
        </w:r>
      </w:hyperlink>
      <w:r>
        <w:rPr>
          <w:rFonts w:cs="Times New Roman" w:ascii="Times New Roman" w:hAnsi="Times New Roman"/>
          <w:sz w:val="24"/>
          <w:szCs w:val="24"/>
        </w:rPr>
        <w:t xml:space="preserve"> </w:t>
      </w:r>
    </w:p>
    <w:p>
      <w:pPr>
        <w:pStyle w:val="ListParagraph"/>
        <w:numPr>
          <w:ilvl w:val="0"/>
          <w:numId w:val="5"/>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 xml:space="preserve">Policy analysis: </w:t>
      </w:r>
      <w:hyperlink r:id="rId5">
        <w:r>
          <w:rPr>
            <w:rStyle w:val="Hyperlink"/>
            <w:rFonts w:cs="Times New Roman" w:ascii="Times New Roman" w:hAnsi="Times New Roman"/>
            <w:sz w:val="24"/>
            <w:szCs w:val="24"/>
          </w:rPr>
          <w:t>https://nliulawreview.nliu.ac.in/blog/revolutionizing-justice-niti-aayogs-odr-blueprint-to-india</w:t>
        </w:r>
      </w:hyperlink>
      <w:r>
        <w:rPr>
          <w:rFonts w:cs="Times New Roman" w:ascii="Times New Roman" w:hAnsi="Times New Roman"/>
          <w:sz w:val="24"/>
          <w:szCs w:val="24"/>
        </w:rPr>
        <w:t xml:space="preserve"> </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ab/>
        <w:t>Arbitral institutions are also becoming adjusted internationally:</w:t>
      </w:r>
    </w:p>
    <w:p>
      <w:pPr>
        <w:pStyle w:val="ListParagraph"/>
        <w:numPr>
          <w:ilvl w:val="0"/>
          <w:numId w:val="6"/>
        </w:numPr>
        <w:spacing w:lineRule="auto" w:line="360" w:before="315" w:after="105"/>
        <w:contextualSpacing/>
        <w:rPr>
          <w:rFonts w:ascii="Times New Roman" w:hAnsi="Times New Roman" w:cs="Times New Roman"/>
          <w:sz w:val="24"/>
          <w:szCs w:val="24"/>
        </w:rPr>
      </w:pPr>
      <w:r>
        <w:rPr>
          <w:rFonts w:cs="Times New Roman" w:ascii="Times New Roman" w:hAnsi="Times New Roman"/>
          <w:sz w:val="24"/>
          <w:szCs w:val="24"/>
        </w:rPr>
        <w:t>HKIAC has also published a Practice Note on compatibility of arbitration clauses to consolidate and multi-contract disputes in January 2025, and is especially applicable to platform and ecosystem contracting[11].</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 xml:space="preserve">Link: </w:t>
      </w:r>
      <w:hyperlink r:id="rId6">
        <w:r>
          <w:rPr>
            <w:rStyle w:val="Hyperlink"/>
            <w:rFonts w:cs="Times New Roman" w:ascii="Times New Roman" w:hAnsi="Times New Roman"/>
            <w:sz w:val="24"/>
            <w:szCs w:val="24"/>
          </w:rPr>
          <w:t>https://belgravia.law/news/hkiac-issues-guidance-on-arbitration-clause-compatibility-for-consolidation-and-multi-contract-arbitrations/</w:t>
        </w:r>
      </w:hyperlink>
      <w:r>
        <w:rPr>
          <w:rFonts w:cs="Times New Roman" w:ascii="Times New Roman" w:hAnsi="Times New Roman"/>
          <w:sz w:val="24"/>
          <w:szCs w:val="24"/>
        </w:rPr>
        <w:t xml:space="preserve"> </w:t>
      </w:r>
    </w:p>
    <w:p>
      <w:pPr>
        <w:pStyle w:val="Normal"/>
        <w:spacing w:lineRule="auto" w:line="360" w:before="315" w:after="105"/>
        <w:rPr>
          <w:rFonts w:ascii="Times New Roman" w:hAnsi="Times New Roman" w:cs="Times New Roman"/>
          <w:sz w:val="24"/>
          <w:szCs w:val="24"/>
        </w:rPr>
      </w:pPr>
      <w:r>
        <w:rPr>
          <w:rFonts w:cs="Times New Roman" w:ascii="Times New Roman" w:hAnsi="Times New Roman"/>
          <w:sz w:val="24"/>
          <w:szCs w:val="24"/>
        </w:rPr>
        <w:t>The Convention on the Establishment of the International Organization for Mediation was agreed, with IOM to be based in Hong Kong and establish the first intergovernmental organization that is dedicated to mediation alone</w:t>
      </w:r>
    </w:p>
    <w:p>
      <w:pPr>
        <w:pStyle w:val="Normal"/>
        <w:spacing w:lineRule="auto" w:line="360" w:before="315" w:after="105"/>
        <w:ind w:start="-30"/>
        <w:rPr>
          <w:rFonts w:ascii="Times New Roman" w:hAnsi="Times New Roman" w:cs="Times New Roman"/>
          <w:sz w:val="24"/>
          <w:szCs w:val="24"/>
        </w:rPr>
      </w:pPr>
      <w:r>
        <w:rPr>
          <w:rFonts w:cs="Times New Roman" w:ascii="Times New Roman" w:hAnsi="Times New Roman"/>
          <w:sz w:val="24"/>
          <w:szCs w:val="24"/>
        </w:rPr>
        <w:t xml:space="preserve">Link: </w:t>
      </w:r>
      <w:hyperlink r:id="rId7">
        <w:r>
          <w:rPr>
            <w:rStyle w:val="Hyperlink"/>
            <w:rFonts w:cs="Times New Roman" w:ascii="Times New Roman" w:hAnsi="Times New Roman"/>
            <w:sz w:val="24"/>
            <w:szCs w:val="24"/>
          </w:rPr>
          <w:t>https://www.doj.gov.hk/en/communityengagement/press/20240202pr1.html</w:t>
        </w:r>
      </w:hyperlink>
      <w:r>
        <w:rPr>
          <w:rFonts w:cs="Times New Roman" w:ascii="Times New Roman" w:hAnsi="Times New Roman"/>
          <w:sz w:val="24"/>
          <w:szCs w:val="24"/>
        </w:rPr>
        <w:t xml:space="preserve"> </w:t>
      </w:r>
    </w:p>
    <w:p>
      <w:pPr>
        <w:pStyle w:val="Normal"/>
        <w:spacing w:lineRule="auto" w:line="360" w:before="315" w:after="105"/>
        <w:ind w:start="-30"/>
        <w:rPr>
          <w:rFonts w:ascii="Times New Roman" w:hAnsi="Times New Roman" w:cs="Times New Roman"/>
          <w:sz w:val="24"/>
          <w:szCs w:val="24"/>
        </w:rPr>
      </w:pPr>
      <w:bookmarkStart w:id="2" w:name="part_iii_odr_as_access_to_justice_47834c"/>
      <w:r>
        <w:rPr>
          <w:rFonts w:cs="Times New Roman" w:ascii="Times New Roman" w:hAnsi="Times New Roman"/>
          <w:sz w:val="24"/>
          <w:szCs w:val="24"/>
        </w:rPr>
        <w:t>Still, there is a threat it is actually real: in case AI-based tools to write the clauses are trained to follow only the existing large-firm templates, they will purely replicate the existing prejudices - and create unfair clauses at a lower cost and in less time. The answer lies in governance: transparency in AI-generated clauses, training data that is weighted by fairness, and contract review on its part by institutions creating agreements between consumers and MSMEs.[4].</w:t>
      </w:r>
      <w:bookmarkEnd w:id="2"/>
    </w:p>
    <w:p>
      <w:pPr>
        <w:pStyle w:val="Heading1"/>
        <w:rPr>
          <w:rFonts w:ascii="Times New Roman" w:hAnsi="Times New Roman" w:eastAsia="Georgia" w:cs="Times New Roman"/>
          <w:b/>
          <w:bCs/>
          <w:sz w:val="24"/>
          <w:szCs w:val="24"/>
        </w:rPr>
      </w:pPr>
      <w:r>
        <w:rPr>
          <w:rFonts w:eastAsia="Georgia" w:cs="Times New Roman" w:ascii="Times New Roman" w:hAnsi="Times New Roman"/>
          <w:b/>
          <w:bCs/>
          <w:sz w:val="28"/>
          <w:szCs w:val="28"/>
        </w:rPr>
        <w:t>Part III - ODR as Access to Justice not Abstraction.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The main arguments: India has its backlog, so ODR is not a luxury but an integral component of simple access to justice.</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The pendency in the Indian courts is enormous: there is an estimated 4.7 crore cases pending in the lower courts and more than 63 lakh in High Courts not to mention tens of thousands in the Supreme Court. This scale renders court-based resolution purely unsustainable,[13][14]. Already, Lok Adalats prove that scaled alternative processes are possible: the first National Lok Adalat of 2024 alone resolved more than 1.13 crore cases, both pending and pre-litigation, in a concerted effort (one).[15][16]</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 xml:space="preserve">Link: </w:t>
      </w:r>
      <w:hyperlink r:id="rId8">
        <w:r>
          <w:rPr>
            <w:rStyle w:val="Hyperlink"/>
            <w:rFonts w:eastAsia="Georgia" w:cs="Times New Roman" w:ascii="Times New Roman" w:hAnsi="Times New Roman"/>
            <w:bCs/>
            <w:sz w:val="24"/>
            <w:szCs w:val="24"/>
          </w:rPr>
          <w:t>https://theprint.in/india/1-13-crore-cases-settled-in-1st-national-lok-adalat-of-2024/1994835/</w:t>
        </w:r>
      </w:hyperlink>
      <w:r>
        <w:rPr>
          <w:rFonts w:eastAsia="Georgia" w:cs="Times New Roman" w:ascii="Times New Roman" w:hAnsi="Times New Roman"/>
          <w:bCs/>
          <w:color w:val="000000"/>
          <w:sz w:val="24"/>
          <w:szCs w:val="24"/>
        </w:rPr>
        <w:t xml:space="preserve"> </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ODR is now being developed by government and regulators into sectoral systems:</w:t>
      </w:r>
    </w:p>
    <w:p>
      <w:pPr>
        <w:pStyle w:val="ListParagraph"/>
        <w:numPr>
          <w:ilvl w:val="1"/>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The ODR plan of NITI Aayog specifically suggests ODR of small and medium value disputes, accompanied with the digital literacy and infrastructure investment.[1][2].</w:t>
      </w:r>
    </w:p>
    <w:p>
      <w:pPr>
        <w:pStyle w:val="ListParagraph"/>
        <w:numPr>
          <w:ilvl w:val="1"/>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The MSMED Act has introduced an end-to-end MSME ODR portal on delayed payment settlements, which enables the filing and conciliation and mediation and arbitration of new cases to be completely online; and by 2025 is now the required point of entry to new delayed payment cases[17][18][19].</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Links: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 xml:space="preserve">Overview: </w:t>
      </w:r>
      <w:hyperlink r:id="rId9">
        <w:r>
          <w:rPr>
            <w:rStyle w:val="Hyperlink"/>
            <w:rFonts w:eastAsia="Georgia" w:cs="Times New Roman" w:ascii="Times New Roman" w:hAnsi="Times New Roman"/>
            <w:bCs/>
            <w:sz w:val="24"/>
            <w:szCs w:val="24"/>
          </w:rPr>
          <w:t>https://smefutures.com/msme-day-2025-theme-news-online-dispute-resolution-odr-portal/</w:t>
        </w:r>
      </w:hyperlink>
      <w:r>
        <w:rPr>
          <w:rFonts w:eastAsia="Georgia" w:cs="Times New Roman" w:ascii="Times New Roman" w:hAnsi="Times New Roman"/>
          <w:bCs/>
          <w:color w:val="000000"/>
          <w:sz w:val="24"/>
          <w:szCs w:val="24"/>
        </w:rPr>
        <w:t xml:space="preserve"> </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 xml:space="preserve">Government circular: odr.msme.gov.in </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o</w:t>
        <w:tab/>
        <w:t>SEBI SMART ODR portal is a securities market system that is embedded in the SCORES system where all major market participants are required to enroll and enabling investors without technology access to do so via Investor Service Centers [20] [21] [22].</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Links: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 xml:space="preserve">SEBI circular (PDF): </w:t>
      </w:r>
      <w:hyperlink r:id="rId10">
        <w:r>
          <w:rPr>
            <w:rStyle w:val="Hyperlink"/>
            <w:rFonts w:eastAsia="Georgia" w:cs="Times New Roman" w:ascii="Times New Roman" w:hAnsi="Times New Roman"/>
            <w:bCs/>
            <w:sz w:val="24"/>
            <w:szCs w:val="24"/>
          </w:rPr>
          <w:t>https://abfrl.com/wp-content/uploads/2023/12/SEBI-Circulars-Smart-ODR-Portal.pdf</w:t>
        </w:r>
      </w:hyperlink>
      <w:r>
        <w:rPr>
          <w:rFonts w:eastAsia="Georgia" w:cs="Times New Roman" w:ascii="Times New Roman" w:hAnsi="Times New Roman"/>
          <w:bCs/>
          <w:color w:val="000000"/>
          <w:sz w:val="24"/>
          <w:szCs w:val="24"/>
        </w:rPr>
        <w:t xml:space="preserve"> </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 xml:space="preserve">SEBI SMART ODR page: </w:t>
      </w:r>
      <w:hyperlink r:id="rId11">
        <w:r>
          <w:rPr>
            <w:rStyle w:val="Hyperlink"/>
            <w:rFonts w:eastAsia="Georgia" w:cs="Times New Roman" w:ascii="Times New Roman" w:hAnsi="Times New Roman"/>
            <w:bCs/>
            <w:sz w:val="24"/>
            <w:szCs w:val="24"/>
          </w:rPr>
          <w:t>https://investor.sebi.gov.in/smart_orr.html</w:t>
        </w:r>
      </w:hyperlink>
      <w:r>
        <w:rPr>
          <w:rFonts w:eastAsia="Georgia" w:cs="Times New Roman" w:ascii="Times New Roman" w:hAnsi="Times New Roman"/>
          <w:bCs/>
          <w:color w:val="000000"/>
          <w:sz w:val="24"/>
          <w:szCs w:val="24"/>
        </w:rPr>
        <w:t xml:space="preserve"> </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What, then, is the practice of people-centered ODR?</w:t>
      </w:r>
    </w:p>
    <w:p>
      <w:pPr>
        <w:pStyle w:val="ListParagraph"/>
        <w:numPr>
          <w:ilvl w:val="0"/>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Language: Interfaces should be in Indian languages, and not English only, as they will become a recreation of the digital divide that NITI Aayog cautions against [2].</w:t>
      </w:r>
    </w:p>
    <w:p>
      <w:pPr>
        <w:pStyle w:val="ListParagraph"/>
        <w:numPr>
          <w:ilvl w:val="0"/>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Scheduling: Asynchronous choices: recorded statements, written rounds, flexible video slots, to make sure that daily-wage workers and gig workers will not have to earn less by meeting hearings.</w:t>
      </w:r>
    </w:p>
    <w:p>
      <w:pPr>
        <w:pStyle w:val="ListParagraph"/>
        <w:numPr>
          <w:ilvl w:val="0"/>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Human-centered decision-making: AI would facilitate case flow, indicate case delays and propose the next actions, yet the ultimate decision should be left to a human arbiter to be enforceable in the form of the New York Convention, as well as to undergo a due process.</w:t>
      </w:r>
    </w:p>
    <w:p>
      <w:pPr>
        <w:pStyle w:val="ListParagraph"/>
        <w:numPr>
          <w:ilvl w:val="0"/>
          <w:numId w:val="6"/>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Safe paperwork: This can be enhanced by the use of blockchain or other tamper-evident trails to build credibility towards digital evidence and awards, which is aligned with Bharatiya Sakshya focus on treating electronic records equally in the Bharatiya Sakshya framework.[9][10].</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Section 19 of the Arbitration and Conciliation Act already allows parties to have their own method; ODR is just a modern method of using that freedom in a nation in urgent need of quicker, less expensive, and geographically neutral procedures [6][7].</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r>
    </w:p>
    <w:p>
      <w:pPr>
        <w:pStyle w:val="Heading1"/>
        <w:rPr>
          <w:rFonts w:ascii="Times New Roman" w:hAnsi="Times New Roman" w:eastAsia="Georgia" w:cs="Times New Roman"/>
          <w:b/>
          <w:bCs/>
          <w:sz w:val="28"/>
          <w:szCs w:val="28"/>
        </w:rPr>
      </w:pPr>
      <w:r>
        <w:rPr>
          <w:rFonts w:eastAsia="Georgia" w:cs="Times New Roman" w:ascii="Times New Roman" w:hAnsi="Times New Roman"/>
          <w:b/>
          <w:bCs/>
          <w:sz w:val="28"/>
          <w:szCs w:val="28"/>
        </w:rPr>
        <w:t>Part IV - Architects and not Administrators of Arbitral Institutions.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Important messages: Institutions are no longer allowed to be impartial observers of unjust provisions.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Traditionally, the institutions of arbitral have:</w:t>
      </w:r>
    </w:p>
    <w:p>
      <w:pPr>
        <w:pStyle w:val="ListParagraph"/>
        <w:numPr>
          <w:ilvl w:val="1"/>
          <w:numId w:val="7"/>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Issued a standard model clause.</w:t>
      </w:r>
    </w:p>
    <w:p>
      <w:pPr>
        <w:pStyle w:val="ListParagraph"/>
        <w:numPr>
          <w:ilvl w:val="1"/>
          <w:numId w:val="7"/>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Adopts whatever clauses parties come out with even where they are unilateral.</w:t>
      </w:r>
    </w:p>
    <w:p>
      <w:pPr>
        <w:pStyle w:val="ListParagraph"/>
        <w:numPr>
          <w:ilvl w:val="1"/>
          <w:numId w:val="7"/>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Not trying to design upstream contracts, but to administer cases.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In a platform contract world of mass digital adhesion contracts, however, the clause is the constitution of the arbitration. When the constitution is unjust, then nothing can fix it in the name of perfect case management.</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Institutions may have a more ambitious role which may comprise:</w:t>
      </w:r>
    </w:p>
    <w:p>
      <w:pPr>
        <w:pStyle w:val="ListParagraph"/>
        <w:numPr>
          <w:ilvl w:val="1"/>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Clauses in model specifying the sector:</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Gig-work services and delivery apps.</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Online lending and fintech.</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e-commerce platforms and Software as a Service.</w:t>
      </w:r>
    </w:p>
    <w:p>
      <w:pPr>
        <w:pStyle w:val="ListParagraph"/>
        <w:numPr>
          <w:ilvl w:val="1"/>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Multilingual, plain text templates, which are free, and which tell you in plain words:</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Where the case will be heard.</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How fees are calculated.</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Possibility of collective mechanisms.</w:t>
      </w:r>
    </w:p>
    <w:p>
      <w:pPr>
        <w:pStyle w:val="ListParagraph"/>
        <w:numPr>
          <w:ilvl w:val="1"/>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Miscellaneous clause-review services, particularly where one of the sides is a consumer or MSME, and there are simple "fairness badges" or checklists.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Interoperable standards of ODR, to create and refine in consultation with UNCITRAL and other new institutions such as the International Organization of Mediation, in such a way that across-border awards and mediated results travel without difficulty across borders, [11][12][8][23].</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In the event that Hong Kong will be able to arrange the IOM as an intergovernmental seat of mediation, there is no justification that Indian institutions cannot take a forefront position as world leaders in the equitable, digital era arbitration design.</w:t>
      </w:r>
    </w:p>
    <w:p>
      <w:pPr>
        <w:pStyle w:val="Heading1"/>
        <w:rPr>
          <w:rFonts w:ascii="Times New Roman" w:hAnsi="Times New Roman" w:eastAsia="Georgia" w:cs="Times New Roman"/>
          <w:b/>
          <w:bCs/>
          <w:sz w:val="28"/>
          <w:szCs w:val="28"/>
        </w:rPr>
      </w:pPr>
      <w:r>
        <w:rPr>
          <w:rFonts w:eastAsia="Georgia" w:cs="Times New Roman" w:ascii="Times New Roman" w:hAnsi="Times New Roman"/>
          <w:b/>
          <w:bCs/>
          <w:sz w:val="28"/>
          <w:szCs w:val="28"/>
        </w:rPr>
        <w:t xml:space="preserve">Conclusion: Vision of the future. </w:t>
      </w:r>
    </w:p>
    <w:p>
      <w:pPr>
        <w:pStyle w:val="Normal"/>
        <w:rPr/>
      </w:pPr>
      <w:r>
        <w:rPr/>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I will finish off by giving you a visual of where we have the potential to be in 2030, provided we make the correct decisions.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The Indian digital and e-commerce economy has evolved to the hundreds of billions of dollars and ODR has become a natural aspect of doing business and not an experiment [1][17][2].</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b/>
        <w:t>The Act Amendment in the Arbitration and Conciliation Act has been done to:</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Explicitly recognise ODR.</w:t>
      </w:r>
    </w:p>
    <w:p>
      <w:pPr>
        <w:pStyle w:val="ListParagraph"/>
        <w:numPr>
          <w:ilvl w:val="0"/>
          <w:numId w:val="8"/>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Recognize the use of blockchain records and artificial intelligence supported case management, consistent with the Bharatiya Sakshya model of electronic evidence.[9][10].</w:t>
      </w:r>
    </w:p>
    <w:p>
      <w:pPr>
        <w:pStyle w:val="ListParagraph"/>
        <w:numPr>
          <w:ilvl w:val="1"/>
          <w:numId w:val="9"/>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All major digital platforms contracts that are concluded with Indian users should satisfy nationally recognised fairness criteria in arbitration terms which include:</w:t>
      </w:r>
    </w:p>
    <w:p>
      <w:pPr>
        <w:pStyle w:val="ListParagraph"/>
        <w:numPr>
          <w:ilvl w:val="0"/>
          <w:numId w:val="9"/>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Consumer and tiered consumer and MSME caps and fees.</w:t>
      </w:r>
    </w:p>
    <w:p>
      <w:pPr>
        <w:pStyle w:val="ListParagraph"/>
        <w:numPr>
          <w:ilvl w:val="0"/>
          <w:numId w:val="9"/>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Transparent information concerning seat, language and procedure.</w:t>
      </w:r>
    </w:p>
    <w:p>
      <w:pPr>
        <w:pStyle w:val="ListParagraph"/>
        <w:numPr>
          <w:ilvl w:val="0"/>
          <w:numId w:val="9"/>
        </w:numPr>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Major Indian language versions.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Now consider one of the gig workers in Patna: When a payment dispute occurs, she logs in to an ODR portal via her phone. The platform will automatically compare the clause with the norm of fairness and direct her towards a recognized ODR institution. A relevant expert arbitrator is allocated; sittings are organized at times which do not interfere with her shifts and she may contribute in Hindi and the award is presented in bilingual manner. In weeks not years, she has an enforceable decision, without travelling, without wage loss and without having a lawyer.</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This is not science fiction. Our policy blueprints, our evidence law, our regulatory ODR portals to MSMEs and investors, the mass-settlement experience of our Lok Adalats all contain the key building blocks already,[17][2][10][15][18][21][16][22][1][9].</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People-centric arbitration is just the prudent decision to make these dots and how we write clauses, how institutions shape the market, and how we make technology around real human lives.</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The only actual question is whether we as drafters, arbitrators, institutional leaders, and policymakers are going to be the architects of that future or merely observers of it.</w:t>
      </w:r>
    </w:p>
    <w:p>
      <w:pPr>
        <w:pStyle w:val="Normal"/>
        <w:spacing w:lineRule="auto" w:line="360"/>
        <w:rPr>
          <w:rFonts w:ascii="Times New Roman" w:hAnsi="Times New Roman" w:eastAsia="Georgia" w:cs="Times New Roman"/>
          <w:bCs/>
          <w:color w:val="000000"/>
          <w:sz w:val="24"/>
          <w:szCs w:val="24"/>
        </w:rPr>
      </w:pPr>
      <w:r>
        <w:rPr>
          <w:rFonts w:eastAsia="Georgia" w:cs="Times New Roman" w:ascii="Times New Roman" w:hAnsi="Times New Roman"/>
          <w:bCs/>
          <w:color w:val="000000"/>
          <w:sz w:val="24"/>
          <w:szCs w:val="24"/>
        </w:rPr>
        <w:t>Thank you.</w:t>
      </w:r>
    </w:p>
    <w:p>
      <w:pPr>
        <w:pStyle w:val="Normal"/>
        <w:spacing w:lineRule="auto" w:line="360"/>
        <w:rPr>
          <w:rFonts w:ascii="Times New Roman" w:hAnsi="Times New Roman" w:eastAsia="Georgia" w:cs="Times New Roman"/>
          <w:b/>
          <w:color w:val="000000"/>
          <w:sz w:val="24"/>
          <w:szCs w:val="24"/>
        </w:rPr>
      </w:pPr>
      <w:r>
        <w:rPr>
          <w:rFonts w:eastAsia="Georgia" w:cs="Times New Roman" w:ascii="Times New Roman" w:hAnsi="Times New Roman"/>
          <w:b/>
          <w:color w:val="000000"/>
          <w:sz w:val="24"/>
          <w:szCs w:val="24"/>
        </w:rPr>
      </w:r>
    </w:p>
    <w:p>
      <w:pPr>
        <w:pStyle w:val="Heading1"/>
        <w:rPr>
          <w:rFonts w:ascii="Times New Roman" w:hAnsi="Times New Roman" w:cs="Times New Roman"/>
          <w:b/>
          <w:bCs/>
        </w:rPr>
      </w:pPr>
      <w:r>
        <w:rPr>
          <w:rFonts w:eastAsia="Georgia" w:cs="Times New Roman" w:ascii="Times New Roman" w:hAnsi="Times New Roman"/>
          <w:b/>
          <w:bCs/>
        </w:rPr>
        <w:t>CITATIONS</w:t>
      </w:r>
    </w:p>
    <w:p>
      <w:pPr>
        <w:pStyle w:val="Normal"/>
        <w:spacing w:lineRule="auto" w:line="360" w:before="210" w:after="0"/>
        <w:rPr>
          <w:rFonts w:ascii="Times New Roman" w:hAnsi="Times New Roman" w:cs="Times New Roman"/>
          <w:sz w:val="24"/>
          <w:szCs w:val="24"/>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bookmarkStart w:id="3" w:name="fn5"/>
      <w:bookmarkStart w:id="4" w:name="fn3"/>
      <w:bookmarkStart w:id="5" w:name="fn1"/>
    </w:p>
    <w:p>
      <w:pPr>
        <w:pStyle w:val="Normal"/>
        <w:numPr>
          <w:ilvl w:val="0"/>
          <w:numId w:val="1"/>
        </w:numPr>
        <w:spacing w:lineRule="auto" w:line="360" w:before="0" w:after="210"/>
        <w:rPr>
          <w:rFonts w:ascii="Times New Roman" w:hAnsi="Times New Roman" w:cs="Times New Roman"/>
          <w:sz w:val="24"/>
          <w:szCs w:val="24"/>
        </w:rPr>
      </w:pPr>
      <w:hyperlink r:id="rId12">
        <w:bookmarkEnd w:id="3"/>
        <w:bookmarkEnd w:id="4"/>
        <w:bookmarkEnd w:id="5"/>
        <w:r>
          <w:rPr>
            <w:rStyle w:val="Style8"/>
            <w:rFonts w:eastAsia="helvetica neue" w:cs="Times New Roman" w:ascii="Times New Roman" w:hAnsi="Times New Roman"/>
            <w:sz w:val="24"/>
            <w:szCs w:val="24"/>
            <w:u w:val="single"/>
          </w:rPr>
          <w:t>https://www.pib.gov.in/PressReleasePage.aspx?PRID=1776202</w:t>
        </w:r>
      </w:hyperlink>
      <w:r>
        <w:rPr>
          <w:rFonts w:eastAsia="Georgia" w:cs="Times New Roman" w:ascii="Times New Roman" w:hAnsi="Times New Roman"/>
          <w:color w:val="000000"/>
          <w:sz w:val="24"/>
          <w:szCs w:val="24"/>
        </w:rPr>
        <w:t xml:space="preserve">    </w:t>
      </w:r>
      <w:bookmarkStart w:id="6" w:name="fn2"/>
    </w:p>
    <w:p>
      <w:pPr>
        <w:pStyle w:val="Normal"/>
        <w:numPr>
          <w:ilvl w:val="0"/>
          <w:numId w:val="1"/>
        </w:numPr>
        <w:spacing w:lineRule="auto" w:line="360" w:before="0" w:after="210"/>
        <w:rPr>
          <w:rFonts w:ascii="Times New Roman" w:hAnsi="Times New Roman" w:cs="Times New Roman"/>
          <w:sz w:val="24"/>
          <w:szCs w:val="24"/>
        </w:rPr>
      </w:pPr>
      <w:hyperlink r:id="rId13">
        <w:bookmarkEnd w:id="6"/>
        <w:r>
          <w:rPr>
            <w:rStyle w:val="Style8"/>
            <w:rFonts w:eastAsia="helvetica neue" w:cs="Times New Roman" w:ascii="Times New Roman" w:hAnsi="Times New Roman"/>
            <w:sz w:val="24"/>
            <w:szCs w:val="24"/>
            <w:u w:val="single"/>
          </w:rPr>
          <w:t>https://nliulawreview.nliu.ac.in/blog/revolutionizing-justice-niti-aayogs-odr-blueprint-for-india/</w:t>
        </w:r>
      </w:hyperlink>
      <w:r>
        <w:rPr>
          <w:rFonts w:eastAsia="Georgia" w:cs="Times New Roman" w:ascii="Times New Roman" w:hAnsi="Times New Roman"/>
          <w:color w:val="000000"/>
          <w:sz w:val="24"/>
          <w:szCs w:val="24"/>
        </w:rPr>
        <w:t xml:space="preserve">       </w:t>
      </w:r>
    </w:p>
    <w:p>
      <w:pPr>
        <w:pStyle w:val="Normal"/>
        <w:numPr>
          <w:ilvl w:val="0"/>
          <w:numId w:val="1"/>
        </w:numPr>
        <w:spacing w:lineRule="auto" w:line="360" w:before="0" w:after="210"/>
        <w:rPr>
          <w:rFonts w:ascii="Times New Roman" w:hAnsi="Times New Roman" w:cs="Times New Roman"/>
          <w:sz w:val="24"/>
          <w:szCs w:val="24"/>
        </w:rPr>
      </w:pPr>
      <w:hyperlink r:id="rId14">
        <w:r>
          <w:rPr>
            <w:rStyle w:val="Style8"/>
            <w:rFonts w:eastAsia="helvetica neue" w:cs="Times New Roman" w:ascii="Times New Roman" w:hAnsi="Times New Roman"/>
            <w:sz w:val="24"/>
            <w:szCs w:val="24"/>
            <w:u w:val="single"/>
          </w:rPr>
          <w:t>https://www.hahnlaw.com/insights/gleason-brauer-secure-order-sending-crypto-users-lawsuit-to-arbitration/</w:t>
        </w:r>
      </w:hyperlink>
      <w:r>
        <w:rPr>
          <w:rFonts w:eastAsia="Georgia" w:cs="Times New Roman" w:ascii="Times New Roman" w:hAnsi="Times New Roman"/>
          <w:color w:val="000000"/>
          <w:sz w:val="24"/>
          <w:szCs w:val="24"/>
        </w:rPr>
        <w:t xml:space="preserve">  </w:t>
      </w:r>
      <w:bookmarkStart w:id="7" w:name="fn4"/>
    </w:p>
    <w:p>
      <w:pPr>
        <w:pStyle w:val="Normal"/>
        <w:numPr>
          <w:ilvl w:val="0"/>
          <w:numId w:val="1"/>
        </w:numPr>
        <w:spacing w:lineRule="auto" w:line="360" w:before="0" w:after="210"/>
        <w:rPr>
          <w:rFonts w:ascii="Times New Roman" w:hAnsi="Times New Roman" w:cs="Times New Roman"/>
          <w:sz w:val="24"/>
          <w:szCs w:val="24"/>
        </w:rPr>
      </w:pPr>
      <w:hyperlink r:id="rId15">
        <w:bookmarkEnd w:id="7"/>
        <w:r>
          <w:rPr>
            <w:rStyle w:val="Style8"/>
            <w:rFonts w:eastAsia="helvetica neue" w:cs="Times New Roman" w:ascii="Times New Roman" w:hAnsi="Times New Roman"/>
            <w:sz w:val="24"/>
            <w:szCs w:val="24"/>
            <w:u w:val="single"/>
          </w:rPr>
          <w:t>https://www.pinsentmasons.com/out-law/analysis/growing-demand-expertise-cryptocurrency-related-arbitration</w:t>
        </w:r>
      </w:hyperlink>
      <w:r>
        <w:rPr>
          <w:rFonts w:eastAsia="Georgia" w:cs="Times New Roman" w:ascii="Times New Roman" w:hAnsi="Times New Roman"/>
          <w:color w:val="000000"/>
          <w:sz w:val="24"/>
          <w:szCs w:val="24"/>
        </w:rPr>
        <w:t xml:space="preserve">    </w:t>
      </w:r>
    </w:p>
    <w:p>
      <w:pPr>
        <w:pStyle w:val="Normal"/>
        <w:numPr>
          <w:ilvl w:val="0"/>
          <w:numId w:val="1"/>
        </w:numPr>
        <w:spacing w:lineRule="auto" w:line="360" w:before="0" w:after="210"/>
        <w:rPr>
          <w:rFonts w:ascii="Times New Roman" w:hAnsi="Times New Roman" w:cs="Times New Roman"/>
          <w:sz w:val="24"/>
          <w:szCs w:val="24"/>
        </w:rPr>
      </w:pPr>
      <w:hyperlink r:id="rId16">
        <w:r>
          <w:rPr>
            <w:rStyle w:val="Style8"/>
            <w:rFonts w:eastAsia="helvetica neue" w:cs="Times New Roman" w:ascii="Times New Roman" w:hAnsi="Times New Roman"/>
            <w:sz w:val="24"/>
            <w:szCs w:val="24"/>
            <w:u w:val="single"/>
          </w:rPr>
          <w:t>https://lawfyi.io/trimex-international-fze-vs-vedanta-aluminium-limitedindia-on-22-january-2010-case-summary/</w:t>
        </w:r>
      </w:hyperlink>
      <w:r>
        <w:rPr>
          <w:rFonts w:eastAsia="Georgia" w:cs="Times New Roman" w:ascii="Times New Roman" w:hAnsi="Times New Roman"/>
          <w:color w:val="000000"/>
          <w:sz w:val="24"/>
          <w:szCs w:val="24"/>
        </w:rPr>
        <w:t xml:space="preserve"> </w:t>
      </w:r>
      <w:bookmarkStart w:id="8" w:name="fn6"/>
    </w:p>
    <w:p>
      <w:pPr>
        <w:pStyle w:val="Normal"/>
        <w:numPr>
          <w:ilvl w:val="0"/>
          <w:numId w:val="1"/>
        </w:numPr>
        <w:spacing w:lineRule="auto" w:line="360" w:before="0" w:after="210"/>
        <w:rPr>
          <w:rFonts w:ascii="Times New Roman" w:hAnsi="Times New Roman" w:cs="Times New Roman"/>
          <w:sz w:val="24"/>
          <w:szCs w:val="24"/>
        </w:rPr>
      </w:pPr>
      <w:hyperlink r:id="rId17">
        <w:bookmarkEnd w:id="8"/>
        <w:r>
          <w:rPr>
            <w:rStyle w:val="Style8"/>
            <w:rFonts w:eastAsia="helvetica neue" w:cs="Times New Roman" w:ascii="Times New Roman" w:hAnsi="Times New Roman"/>
            <w:sz w:val="24"/>
            <w:szCs w:val="24"/>
            <w:u w:val="single"/>
          </w:rPr>
          <w:t>https://papers.ssrn.com/sol3/papers.cfm?abstract_id=2060866</w:t>
        </w:r>
      </w:hyperlink>
      <w:r>
        <w:rPr>
          <w:rFonts w:eastAsia="Georgia" w:cs="Times New Roman" w:ascii="Times New Roman" w:hAnsi="Times New Roman"/>
          <w:color w:val="000000"/>
          <w:sz w:val="24"/>
          <w:szCs w:val="24"/>
        </w:rPr>
        <w:t xml:space="preserve">  </w:t>
      </w:r>
      <w:bookmarkStart w:id="9" w:name="fn7"/>
    </w:p>
    <w:p>
      <w:pPr>
        <w:pStyle w:val="Normal"/>
        <w:numPr>
          <w:ilvl w:val="0"/>
          <w:numId w:val="1"/>
        </w:numPr>
        <w:spacing w:lineRule="auto" w:line="360" w:before="0" w:after="210"/>
        <w:rPr>
          <w:rFonts w:ascii="Times New Roman" w:hAnsi="Times New Roman" w:cs="Times New Roman"/>
          <w:sz w:val="24"/>
          <w:szCs w:val="24"/>
        </w:rPr>
      </w:pPr>
      <w:hyperlink r:id="rId18">
        <w:bookmarkEnd w:id="9"/>
        <w:r>
          <w:rPr>
            <w:rStyle w:val="Style8"/>
            <w:rFonts w:eastAsia="helvetica neue" w:cs="Times New Roman" w:ascii="Times New Roman" w:hAnsi="Times New Roman"/>
            <w:sz w:val="24"/>
            <w:szCs w:val="24"/>
            <w:u w:val="single"/>
          </w:rPr>
          <w:t>http://practicalacademic.blogspot.com/2010/03/trimex-v-vedanta_02.html</w:t>
        </w:r>
      </w:hyperlink>
      <w:r>
        <w:rPr>
          <w:rFonts w:eastAsia="Georgia" w:cs="Times New Roman" w:ascii="Times New Roman" w:hAnsi="Times New Roman"/>
          <w:color w:val="000000"/>
          <w:sz w:val="24"/>
          <w:szCs w:val="24"/>
        </w:rPr>
        <w:t xml:space="preserve">  </w:t>
      </w:r>
      <w:bookmarkStart w:id="10" w:name="fn8"/>
    </w:p>
    <w:p>
      <w:pPr>
        <w:pStyle w:val="Normal"/>
        <w:numPr>
          <w:ilvl w:val="0"/>
          <w:numId w:val="1"/>
        </w:numPr>
        <w:spacing w:lineRule="auto" w:line="360" w:before="0" w:after="210"/>
        <w:rPr>
          <w:rFonts w:ascii="Times New Roman" w:hAnsi="Times New Roman" w:cs="Times New Roman"/>
          <w:sz w:val="24"/>
          <w:szCs w:val="24"/>
        </w:rPr>
      </w:pPr>
      <w:hyperlink r:id="rId19">
        <w:bookmarkEnd w:id="10"/>
        <w:r>
          <w:rPr>
            <w:rStyle w:val="Style8"/>
            <w:rFonts w:eastAsia="helvetica neue" w:cs="Times New Roman" w:ascii="Times New Roman" w:hAnsi="Times New Roman"/>
            <w:sz w:val="24"/>
            <w:szCs w:val="24"/>
            <w:u w:val="single"/>
          </w:rPr>
          <w:t>https://www.mofo.com/resources/insights/260304-hkiac-s-2025-statistics-highlight-record-caseload</w:t>
        </w:r>
      </w:hyperlink>
      <w:r>
        <w:rPr>
          <w:rFonts w:eastAsia="Georgia" w:cs="Times New Roman" w:ascii="Times New Roman" w:hAnsi="Times New Roman"/>
          <w:color w:val="000000"/>
          <w:sz w:val="24"/>
          <w:szCs w:val="24"/>
        </w:rPr>
        <w:t xml:space="preserve">  </w:t>
      </w:r>
      <w:bookmarkStart w:id="11" w:name="fn9"/>
    </w:p>
    <w:p>
      <w:pPr>
        <w:pStyle w:val="Normal"/>
        <w:numPr>
          <w:ilvl w:val="0"/>
          <w:numId w:val="1"/>
        </w:numPr>
        <w:spacing w:lineRule="auto" w:line="360" w:before="0" w:after="210"/>
        <w:rPr>
          <w:rFonts w:ascii="Times New Roman" w:hAnsi="Times New Roman" w:cs="Times New Roman"/>
          <w:sz w:val="24"/>
          <w:szCs w:val="24"/>
        </w:rPr>
      </w:pPr>
      <w:hyperlink r:id="rId20">
        <w:bookmarkEnd w:id="11"/>
        <w:r>
          <w:rPr>
            <w:rStyle w:val="Style8"/>
            <w:rFonts w:eastAsia="helvetica neue" w:cs="Times New Roman" w:ascii="Times New Roman" w:hAnsi="Times New Roman"/>
            <w:sz w:val="24"/>
            <w:szCs w:val="24"/>
            <w:u w:val="single"/>
          </w:rPr>
          <w:t>https://www.legalbites.in/bharatiya-Sakshya-adhiniyam/admissibility-of-electronic-evidence-under-bharatiya-sakshya-adhiniyam-1080257</w:t>
        </w:r>
      </w:hyperlink>
      <w:r>
        <w:rPr>
          <w:rFonts w:eastAsia="Georgia" w:cs="Times New Roman" w:ascii="Times New Roman" w:hAnsi="Times New Roman"/>
          <w:color w:val="000000"/>
          <w:sz w:val="24"/>
          <w:szCs w:val="24"/>
        </w:rPr>
        <w:t xml:space="preserve">    </w:t>
      </w:r>
      <w:bookmarkStart w:id="12" w:name="fn10"/>
    </w:p>
    <w:p>
      <w:pPr>
        <w:pStyle w:val="Normal"/>
        <w:numPr>
          <w:ilvl w:val="0"/>
          <w:numId w:val="1"/>
        </w:numPr>
        <w:spacing w:lineRule="auto" w:line="360" w:before="0" w:after="210"/>
        <w:rPr>
          <w:rFonts w:ascii="Times New Roman" w:hAnsi="Times New Roman" w:cs="Times New Roman"/>
          <w:sz w:val="24"/>
          <w:szCs w:val="24"/>
        </w:rPr>
      </w:pPr>
      <w:hyperlink r:id="rId21">
        <w:bookmarkEnd w:id="12"/>
        <w:r>
          <w:rPr>
            <w:rStyle w:val="Style8"/>
            <w:rFonts w:eastAsia="helvetica neue" w:cs="Times New Roman" w:ascii="Times New Roman" w:hAnsi="Times New Roman"/>
            <w:sz w:val="24"/>
            <w:szCs w:val="24"/>
            <w:u w:val="single"/>
          </w:rPr>
          <w:t>https://prsindia.org/billtrack/the-bharatiya-sakshya-bill-2023</w:t>
        </w:r>
      </w:hyperlink>
      <w:r>
        <w:rPr>
          <w:rFonts w:eastAsia="Georgia" w:cs="Times New Roman" w:ascii="Times New Roman" w:hAnsi="Times New Roman"/>
          <w:color w:val="000000"/>
          <w:sz w:val="24"/>
          <w:szCs w:val="24"/>
        </w:rPr>
        <w:t xml:space="preserve">    </w:t>
      </w:r>
      <w:bookmarkStart w:id="13" w:name="fn11"/>
    </w:p>
    <w:p>
      <w:pPr>
        <w:pStyle w:val="Normal"/>
        <w:numPr>
          <w:ilvl w:val="0"/>
          <w:numId w:val="1"/>
        </w:numPr>
        <w:spacing w:lineRule="auto" w:line="360" w:before="0" w:after="210"/>
        <w:rPr>
          <w:rFonts w:ascii="Times New Roman" w:hAnsi="Times New Roman" w:cs="Times New Roman"/>
          <w:sz w:val="24"/>
          <w:szCs w:val="24"/>
        </w:rPr>
      </w:pPr>
      <w:hyperlink r:id="rId22">
        <w:bookmarkEnd w:id="13"/>
        <w:r>
          <w:rPr>
            <w:rStyle w:val="Style8"/>
            <w:rFonts w:eastAsia="helvetica neue" w:cs="Times New Roman" w:ascii="Times New Roman" w:hAnsi="Times New Roman"/>
            <w:sz w:val="24"/>
            <w:szCs w:val="24"/>
            <w:u w:val="single"/>
          </w:rPr>
          <w:t>https://belgravia.law/news/hkiac-issues-guidance-on-arbitration-clause-compatibility-for-consolidation-and-multi-contract-arbitrations</w:t>
        </w:r>
      </w:hyperlink>
      <w:r>
        <w:rPr>
          <w:rFonts w:eastAsia="Georgia" w:cs="Times New Roman" w:ascii="Times New Roman" w:hAnsi="Times New Roman"/>
          <w:color w:val="000000"/>
          <w:sz w:val="24"/>
          <w:szCs w:val="24"/>
        </w:rPr>
        <w:t xml:space="preserve">   </w:t>
      </w:r>
      <w:bookmarkStart w:id="14" w:name="fn12"/>
    </w:p>
    <w:p>
      <w:pPr>
        <w:pStyle w:val="Normal"/>
        <w:numPr>
          <w:ilvl w:val="0"/>
          <w:numId w:val="1"/>
        </w:numPr>
        <w:spacing w:lineRule="auto" w:line="360" w:before="0" w:after="210"/>
        <w:rPr>
          <w:rFonts w:ascii="Times New Roman" w:hAnsi="Times New Roman" w:cs="Times New Roman"/>
          <w:sz w:val="24"/>
          <w:szCs w:val="24"/>
        </w:rPr>
      </w:pPr>
      <w:hyperlink r:id="rId23">
        <w:bookmarkEnd w:id="14"/>
        <w:r>
          <w:rPr>
            <w:rStyle w:val="Style8"/>
            <w:rFonts w:eastAsia="helvetica neue" w:cs="Times New Roman" w:ascii="Times New Roman" w:hAnsi="Times New Roman"/>
            <w:sz w:val="24"/>
            <w:szCs w:val="24"/>
            <w:u w:val="single"/>
          </w:rPr>
          <w:t>https://www.hsfkramer.com/notes/adr/2025-posts/convention-on-the-establishment-of-the-international-organization-for-mediation-to-be-signed-in-hong-kong-in-2025</w:t>
        </w:r>
      </w:hyperlink>
      <w:r>
        <w:rPr>
          <w:rFonts w:eastAsia="Georgia" w:cs="Times New Roman" w:ascii="Times New Roman" w:hAnsi="Times New Roman"/>
          <w:color w:val="000000"/>
          <w:sz w:val="24"/>
          <w:szCs w:val="24"/>
        </w:rPr>
        <w:t xml:space="preserve">    </w:t>
      </w:r>
      <w:bookmarkStart w:id="15" w:name="fn13"/>
    </w:p>
    <w:p>
      <w:pPr>
        <w:pStyle w:val="Normal"/>
        <w:numPr>
          <w:ilvl w:val="0"/>
          <w:numId w:val="1"/>
        </w:numPr>
        <w:spacing w:lineRule="auto" w:line="360" w:before="0" w:after="210"/>
        <w:rPr>
          <w:rFonts w:ascii="Times New Roman" w:hAnsi="Times New Roman" w:cs="Times New Roman"/>
          <w:sz w:val="24"/>
          <w:szCs w:val="24"/>
        </w:rPr>
      </w:pPr>
      <w:hyperlink r:id="rId24">
        <w:bookmarkEnd w:id="15"/>
        <w:r>
          <w:rPr>
            <w:rStyle w:val="Style8"/>
            <w:rFonts w:eastAsia="helvetica neue" w:cs="Times New Roman" w:ascii="Times New Roman" w:hAnsi="Times New Roman"/>
            <w:sz w:val="24"/>
            <w:szCs w:val="24"/>
            <w:u w:val="single"/>
          </w:rPr>
          <w:t>https://www.studyiq.com/articles/judicial-backlog-in-india/</w:t>
        </w:r>
      </w:hyperlink>
      <w:r>
        <w:rPr>
          <w:rFonts w:eastAsia="Georgia" w:cs="Times New Roman" w:ascii="Times New Roman" w:hAnsi="Times New Roman"/>
          <w:color w:val="000000"/>
          <w:sz w:val="24"/>
          <w:szCs w:val="24"/>
        </w:rPr>
        <w:t xml:space="preserve"> </w:t>
      </w:r>
      <w:bookmarkStart w:id="16" w:name="fn14"/>
    </w:p>
    <w:p>
      <w:pPr>
        <w:pStyle w:val="Normal"/>
        <w:numPr>
          <w:ilvl w:val="0"/>
          <w:numId w:val="1"/>
        </w:numPr>
        <w:spacing w:lineRule="auto" w:line="360" w:before="0" w:after="210"/>
        <w:rPr>
          <w:rFonts w:ascii="Times New Roman" w:hAnsi="Times New Roman" w:cs="Times New Roman"/>
          <w:sz w:val="24"/>
          <w:szCs w:val="24"/>
        </w:rPr>
      </w:pPr>
      <w:hyperlink r:id="rId25">
        <w:bookmarkEnd w:id="16"/>
        <w:r>
          <w:rPr>
            <w:rStyle w:val="Style8"/>
            <w:rFonts w:eastAsia="helvetica neue" w:cs="Times New Roman" w:ascii="Times New Roman" w:hAnsi="Times New Roman"/>
            <w:sz w:val="24"/>
            <w:szCs w:val="24"/>
            <w:u w:val="single"/>
          </w:rPr>
          <w:t>https://visionias.in/current-affairs/news-today/2025-09-15/polity-and-governance/supreme-court-case-backlog-hits-all-time-high-with-88417-pending-cases</w:t>
        </w:r>
      </w:hyperlink>
      <w:r>
        <w:rPr>
          <w:rFonts w:eastAsia="Georgia" w:cs="Times New Roman" w:ascii="Times New Roman" w:hAnsi="Times New Roman"/>
          <w:color w:val="000000"/>
          <w:sz w:val="24"/>
          <w:szCs w:val="24"/>
        </w:rPr>
        <w:t xml:space="preserve"> </w:t>
      </w:r>
      <w:bookmarkStart w:id="17" w:name="fn15"/>
    </w:p>
    <w:p>
      <w:pPr>
        <w:pStyle w:val="Normal"/>
        <w:numPr>
          <w:ilvl w:val="0"/>
          <w:numId w:val="1"/>
        </w:numPr>
        <w:spacing w:lineRule="auto" w:line="360" w:before="0" w:after="210"/>
        <w:rPr>
          <w:rFonts w:ascii="Times New Roman" w:hAnsi="Times New Roman" w:cs="Times New Roman"/>
          <w:sz w:val="24"/>
          <w:szCs w:val="24"/>
        </w:rPr>
      </w:pPr>
      <w:hyperlink r:id="rId26">
        <w:bookmarkEnd w:id="17"/>
        <w:r>
          <w:rPr>
            <w:rStyle w:val="Style8"/>
            <w:rFonts w:eastAsia="helvetica neue" w:cs="Times New Roman" w:ascii="Times New Roman" w:hAnsi="Times New Roman"/>
            <w:sz w:val="24"/>
            <w:szCs w:val="24"/>
            <w:u w:val="single"/>
          </w:rPr>
          <w:t>https://theprint.in/india/1-13-crore-cases-settled-in-1st-national-lok-adalat-of-2024/1994835/</w:t>
        </w:r>
      </w:hyperlink>
      <w:r>
        <w:rPr>
          <w:rFonts w:eastAsia="Georgia" w:cs="Times New Roman" w:ascii="Times New Roman" w:hAnsi="Times New Roman"/>
          <w:color w:val="000000"/>
          <w:sz w:val="24"/>
          <w:szCs w:val="24"/>
        </w:rPr>
        <w:t xml:space="preserve">   </w:t>
      </w:r>
      <w:bookmarkStart w:id="18" w:name="fn16"/>
    </w:p>
    <w:p>
      <w:pPr>
        <w:pStyle w:val="Normal"/>
        <w:numPr>
          <w:ilvl w:val="0"/>
          <w:numId w:val="1"/>
        </w:numPr>
        <w:spacing w:lineRule="auto" w:line="360" w:before="0" w:after="210"/>
        <w:rPr>
          <w:rFonts w:ascii="Times New Roman" w:hAnsi="Times New Roman" w:cs="Times New Roman"/>
          <w:sz w:val="24"/>
          <w:szCs w:val="24"/>
        </w:rPr>
      </w:pPr>
      <w:hyperlink r:id="rId27">
        <w:bookmarkEnd w:id="18"/>
        <w:r>
          <w:rPr>
            <w:rStyle w:val="Style8"/>
            <w:rFonts w:eastAsia="helvetica neue" w:cs="Times New Roman" w:ascii="Times New Roman" w:hAnsi="Times New Roman"/>
            <w:sz w:val="24"/>
            <w:szCs w:val="24"/>
            <w:u w:val="single"/>
          </w:rPr>
          <w:t>https://www.barandbench.com/news/113-crore-cases-involving-806529-crore-resolved-first-national-lok-adalat-2024</w:t>
        </w:r>
      </w:hyperlink>
      <w:r>
        <w:rPr>
          <w:rFonts w:eastAsia="Georgia" w:cs="Times New Roman" w:ascii="Times New Roman" w:hAnsi="Times New Roman"/>
          <w:color w:val="000000"/>
          <w:sz w:val="24"/>
          <w:szCs w:val="24"/>
        </w:rPr>
        <w:t xml:space="preserve">  </w:t>
      </w:r>
      <w:bookmarkStart w:id="19" w:name="fn17"/>
    </w:p>
    <w:p>
      <w:pPr>
        <w:pStyle w:val="Normal"/>
        <w:numPr>
          <w:ilvl w:val="0"/>
          <w:numId w:val="1"/>
        </w:numPr>
        <w:spacing w:lineRule="auto" w:line="360" w:before="0" w:after="210"/>
        <w:rPr>
          <w:rFonts w:ascii="Times New Roman" w:hAnsi="Times New Roman" w:cs="Times New Roman"/>
          <w:sz w:val="24"/>
          <w:szCs w:val="24"/>
        </w:rPr>
      </w:pPr>
      <w:hyperlink r:id="rId28">
        <w:bookmarkEnd w:id="19"/>
        <w:r>
          <w:rPr>
            <w:rStyle w:val="Style8"/>
            <w:rFonts w:eastAsia="helvetica neue" w:cs="Times New Roman" w:ascii="Times New Roman" w:hAnsi="Times New Roman"/>
            <w:sz w:val="24"/>
            <w:szCs w:val="24"/>
            <w:u w:val="single"/>
          </w:rPr>
          <w:t>https://smefutures.com/msme-day-2025-theme-news-online-dispute-resolution-odr-portal/</w:t>
        </w:r>
      </w:hyperlink>
      <w:r>
        <w:rPr>
          <w:rFonts w:eastAsia="Georgia" w:cs="Times New Roman" w:ascii="Times New Roman" w:hAnsi="Times New Roman"/>
          <w:color w:val="000000"/>
          <w:sz w:val="24"/>
          <w:szCs w:val="24"/>
        </w:rPr>
        <w:t xml:space="preserve">    </w:t>
      </w:r>
      <w:bookmarkStart w:id="20" w:name="fn18"/>
    </w:p>
    <w:p>
      <w:pPr>
        <w:pStyle w:val="Normal"/>
        <w:numPr>
          <w:ilvl w:val="0"/>
          <w:numId w:val="1"/>
        </w:numPr>
        <w:spacing w:lineRule="auto" w:line="360" w:before="0" w:after="210"/>
        <w:rPr>
          <w:rFonts w:ascii="Times New Roman" w:hAnsi="Times New Roman" w:cs="Times New Roman"/>
          <w:sz w:val="24"/>
          <w:szCs w:val="24"/>
        </w:rPr>
      </w:pPr>
      <w:hyperlink r:id="rId29">
        <w:bookmarkEnd w:id="20"/>
        <w:r>
          <w:rPr>
            <w:rStyle w:val="Style8"/>
            <w:rFonts w:eastAsia="helvetica neue" w:cs="Times New Roman" w:ascii="Times New Roman" w:hAnsi="Times New Roman"/>
            <w:sz w:val="24"/>
            <w:szCs w:val="24"/>
            <w:u w:val="single"/>
          </w:rPr>
          <w:t>https://taxguru.in/corporate-law/msme-odr-portal-mandatory-delayed-payments.html</w:t>
        </w:r>
      </w:hyperlink>
      <w:r>
        <w:rPr>
          <w:rFonts w:eastAsia="Georgia" w:cs="Times New Roman" w:ascii="Times New Roman" w:hAnsi="Times New Roman"/>
          <w:color w:val="000000"/>
          <w:sz w:val="24"/>
          <w:szCs w:val="24"/>
        </w:rPr>
        <w:t xml:space="preserve">   </w:t>
      </w:r>
      <w:bookmarkStart w:id="21" w:name="fn19"/>
    </w:p>
    <w:p>
      <w:pPr>
        <w:pStyle w:val="Normal"/>
        <w:numPr>
          <w:ilvl w:val="0"/>
          <w:numId w:val="1"/>
        </w:numPr>
        <w:spacing w:lineRule="auto" w:line="360" w:before="0" w:after="210"/>
        <w:rPr>
          <w:rFonts w:ascii="Times New Roman" w:hAnsi="Times New Roman" w:cs="Times New Roman"/>
          <w:sz w:val="24"/>
          <w:szCs w:val="24"/>
        </w:rPr>
      </w:pPr>
      <w:hyperlink r:id="rId30">
        <w:bookmarkEnd w:id="21"/>
        <w:r>
          <w:rPr>
            <w:rStyle w:val="Style8"/>
            <w:rFonts w:eastAsia="helvetica neue" w:cs="Times New Roman" w:ascii="Times New Roman" w:hAnsi="Times New Roman"/>
            <w:sz w:val="24"/>
            <w:szCs w:val="24"/>
            <w:u w:val="single"/>
          </w:rPr>
          <w:t>https://www.linkedin.com/posts/webteldotin_msme-odr-digitalindia-activity-7384533319549558784-7J97</w:t>
        </w:r>
      </w:hyperlink>
      <w:r>
        <w:rPr>
          <w:rFonts w:eastAsia="Georgia" w:cs="Times New Roman" w:ascii="Times New Roman" w:hAnsi="Times New Roman"/>
          <w:color w:val="000000"/>
          <w:sz w:val="24"/>
          <w:szCs w:val="24"/>
        </w:rPr>
        <w:t xml:space="preserve"> </w:t>
      </w:r>
      <w:bookmarkStart w:id="22" w:name="fn20"/>
    </w:p>
    <w:p>
      <w:pPr>
        <w:pStyle w:val="Normal"/>
        <w:numPr>
          <w:ilvl w:val="0"/>
          <w:numId w:val="1"/>
        </w:numPr>
        <w:spacing w:lineRule="auto" w:line="360" w:before="0" w:after="210"/>
        <w:rPr>
          <w:rFonts w:ascii="Times New Roman" w:hAnsi="Times New Roman" w:cs="Times New Roman"/>
          <w:sz w:val="24"/>
          <w:szCs w:val="24"/>
        </w:rPr>
      </w:pPr>
      <w:hyperlink r:id="rId31">
        <w:bookmarkEnd w:id="22"/>
        <w:r>
          <w:rPr>
            <w:rStyle w:val="Style8"/>
            <w:rFonts w:eastAsia="helvetica neue" w:cs="Times New Roman" w:ascii="Times New Roman" w:hAnsi="Times New Roman"/>
            <w:sz w:val="24"/>
            <w:szCs w:val="24"/>
            <w:u w:val="single"/>
          </w:rPr>
          <w:t>https://disputeresolution.cyrilamarchandblogs.com/2023/10/resolving-securities-disputes-in-the-digital-age-a-primer-on-sebis-master-circular-for-online-resolution-of-disputes-in-the-indian-securities-market/</w:t>
        </w:r>
      </w:hyperlink>
      <w:r>
        <w:rPr>
          <w:rFonts w:eastAsia="Georgia" w:cs="Times New Roman" w:ascii="Times New Roman" w:hAnsi="Times New Roman"/>
          <w:color w:val="000000"/>
          <w:sz w:val="24"/>
          <w:szCs w:val="24"/>
        </w:rPr>
        <w:t xml:space="preserve"> </w:t>
      </w:r>
      <w:bookmarkStart w:id="23" w:name="fn21"/>
    </w:p>
    <w:p>
      <w:pPr>
        <w:pStyle w:val="Normal"/>
        <w:numPr>
          <w:ilvl w:val="0"/>
          <w:numId w:val="1"/>
        </w:numPr>
        <w:spacing w:lineRule="auto" w:line="360" w:before="0" w:after="210"/>
        <w:rPr>
          <w:rFonts w:ascii="Times New Roman" w:hAnsi="Times New Roman" w:cs="Times New Roman"/>
          <w:sz w:val="24"/>
          <w:szCs w:val="24"/>
        </w:rPr>
      </w:pPr>
      <w:hyperlink r:id="rId32">
        <w:bookmarkEnd w:id="23"/>
        <w:r>
          <w:rPr>
            <w:rStyle w:val="Style8"/>
            <w:rFonts w:eastAsia="helvetica neue" w:cs="Times New Roman" w:ascii="Times New Roman" w:hAnsi="Times New Roman"/>
            <w:sz w:val="24"/>
            <w:szCs w:val="24"/>
            <w:u w:val="single"/>
          </w:rPr>
          <w:t>https://www.abfrl.com/wp-content/uploads/2023/12/SEBI-Circulars-Smart-ODR-Portal.pdf</w:t>
        </w:r>
      </w:hyperlink>
      <w:r>
        <w:rPr>
          <w:rFonts w:eastAsia="Georgia" w:cs="Times New Roman" w:ascii="Times New Roman" w:hAnsi="Times New Roman"/>
          <w:color w:val="000000"/>
          <w:sz w:val="24"/>
          <w:szCs w:val="24"/>
        </w:rPr>
        <w:t xml:space="preserve">   </w:t>
      </w:r>
      <w:bookmarkStart w:id="24" w:name="fn22"/>
    </w:p>
    <w:p>
      <w:pPr>
        <w:pStyle w:val="Normal"/>
        <w:numPr>
          <w:ilvl w:val="0"/>
          <w:numId w:val="1"/>
        </w:numPr>
        <w:spacing w:lineRule="auto" w:line="360" w:before="0" w:after="210"/>
        <w:rPr>
          <w:rFonts w:ascii="Times New Roman" w:hAnsi="Times New Roman" w:cs="Times New Roman"/>
          <w:sz w:val="24"/>
          <w:szCs w:val="24"/>
        </w:rPr>
      </w:pPr>
      <w:hyperlink r:id="rId33">
        <w:bookmarkEnd w:id="24"/>
        <w:r>
          <w:rPr>
            <w:rStyle w:val="Style8"/>
            <w:rFonts w:eastAsia="helvetica neue" w:cs="Times New Roman" w:ascii="Times New Roman" w:hAnsi="Times New Roman"/>
            <w:sz w:val="24"/>
            <w:szCs w:val="24"/>
            <w:u w:val="single"/>
          </w:rPr>
          <w:t>https://investor.sebi.gov.in/smart_orr.html</w:t>
        </w:r>
      </w:hyperlink>
      <w:r>
        <w:rPr>
          <w:rFonts w:eastAsia="Georgia" w:cs="Times New Roman" w:ascii="Times New Roman" w:hAnsi="Times New Roman"/>
          <w:color w:val="000000"/>
          <w:sz w:val="24"/>
          <w:szCs w:val="24"/>
        </w:rPr>
        <w:t xml:space="preserve">   </w:t>
      </w:r>
      <w:bookmarkStart w:id="25" w:name="fn23"/>
    </w:p>
    <w:p>
      <w:pPr>
        <w:pStyle w:val="Normal"/>
        <w:numPr>
          <w:ilvl w:val="0"/>
          <w:numId w:val="1"/>
        </w:numPr>
        <w:spacing w:lineRule="auto" w:line="360" w:before="0" w:after="210"/>
        <w:rPr>
          <w:rFonts w:ascii="Times New Roman" w:hAnsi="Times New Roman" w:cs="Times New Roman"/>
          <w:sz w:val="24"/>
          <w:szCs w:val="24"/>
        </w:rPr>
      </w:pPr>
      <w:hyperlink r:id="rId34">
        <w:bookmarkEnd w:id="25"/>
        <w:r>
          <w:rPr>
            <w:rStyle w:val="Style8"/>
            <w:rFonts w:eastAsia="helvetica neue" w:cs="Times New Roman" w:ascii="Times New Roman" w:hAnsi="Times New Roman"/>
            <w:sz w:val="24"/>
            <w:szCs w:val="24"/>
            <w:u w:val="single"/>
          </w:rPr>
          <w:t>https://www.reedsmith.com/media/q55pum5o/2024_review_of_ia_institutional_data_-_final.pdf</w:t>
        </w:r>
      </w:hyperlink>
      <w:r>
        <w:rPr>
          <w:rFonts w:eastAsia="Georgia" w:cs="Times New Roman" w:ascii="Times New Roman" w:hAnsi="Times New Roman"/>
          <w:color w:val="000000"/>
          <w:sz w:val="24"/>
          <w:szCs w:val="24"/>
        </w:rPr>
        <w:t xml:space="preserve"> </w:t>
      </w:r>
      <w:bookmarkStart w:id="26" w:name="fn25"/>
      <w:bookmarkStart w:id="27" w:name="fn24"/>
    </w:p>
    <w:p>
      <w:pPr>
        <w:pStyle w:val="Normal"/>
        <w:numPr>
          <w:ilvl w:val="0"/>
          <w:numId w:val="1"/>
        </w:numPr>
        <w:spacing w:lineRule="auto" w:line="360" w:before="0" w:after="210"/>
        <w:rPr>
          <w:rFonts w:ascii="Times New Roman" w:hAnsi="Times New Roman" w:cs="Times New Roman"/>
          <w:sz w:val="24"/>
          <w:szCs w:val="24"/>
        </w:rPr>
      </w:pPr>
      <w:hyperlink r:id="rId35">
        <w:bookmarkEnd w:id="26"/>
        <w:bookmarkEnd w:id="27"/>
        <w:r>
          <w:rPr>
            <w:rStyle w:val="Style8"/>
            <w:rFonts w:eastAsia="helvetica neue" w:cs="Times New Roman" w:ascii="Times New Roman" w:hAnsi="Times New Roman"/>
            <w:sz w:val="24"/>
            <w:szCs w:val="24"/>
            <w:u w:val="single"/>
          </w:rPr>
          <w:t>https://www.business-standard.com/india-news/over-11-3-million-cases-settled-in-first-national-lok-adalat-of-2024-124030900723_1.html</w:t>
        </w:r>
      </w:hyperlink>
      <w:r>
        <w:rPr>
          <w:rFonts w:eastAsia="Georgia" w:cs="Times New Roman" w:ascii="Times New Roman" w:hAnsi="Times New Roman"/>
          <w:color w:val="000000"/>
          <w:sz w:val="24"/>
          <w:szCs w:val="24"/>
        </w:rPr>
        <w:t xml:space="preserve"> </w:t>
      </w:r>
      <w:bookmarkStart w:id="28" w:name="fn26"/>
    </w:p>
    <w:p>
      <w:pPr>
        <w:pStyle w:val="Normal"/>
        <w:numPr>
          <w:ilvl w:val="0"/>
          <w:numId w:val="1"/>
        </w:numPr>
        <w:spacing w:lineRule="auto" w:line="360" w:before="0" w:after="210"/>
        <w:rPr>
          <w:rFonts w:ascii="Times New Roman" w:hAnsi="Times New Roman" w:cs="Times New Roman"/>
          <w:sz w:val="24"/>
          <w:szCs w:val="24"/>
        </w:rPr>
      </w:pPr>
      <w:hyperlink r:id="rId36">
        <w:bookmarkEnd w:id="28"/>
        <w:r>
          <w:rPr>
            <w:rStyle w:val="Style8"/>
            <w:rFonts w:eastAsia="helvetica neue" w:cs="Times New Roman" w:ascii="Times New Roman" w:hAnsi="Times New Roman"/>
            <w:sz w:val="24"/>
            <w:szCs w:val="24"/>
            <w:u w:val="single"/>
          </w:rPr>
          <w:t>https://law.asia/tm-rights-in-shakti-bhog/</w:t>
        </w:r>
      </w:hyperlink>
      <w:r>
        <w:rPr>
          <w:rFonts w:eastAsia="Georgia" w:cs="Times New Roman" w:ascii="Times New Roman" w:hAnsi="Times New Roman"/>
          <w:color w:val="000000"/>
          <w:sz w:val="24"/>
          <w:szCs w:val="24"/>
        </w:rPr>
        <w:t xml:space="preserve"> </w:t>
      </w:r>
      <w:bookmarkStart w:id="29" w:name="fn27"/>
    </w:p>
    <w:p>
      <w:pPr>
        <w:pStyle w:val="Normal"/>
        <w:numPr>
          <w:ilvl w:val="0"/>
          <w:numId w:val="1"/>
        </w:numPr>
        <w:spacing w:lineRule="auto" w:line="360" w:before="0" w:after="210"/>
        <w:rPr>
          <w:rFonts w:ascii="Times New Roman" w:hAnsi="Times New Roman" w:cs="Times New Roman"/>
          <w:sz w:val="24"/>
          <w:szCs w:val="24"/>
        </w:rPr>
      </w:pPr>
      <w:hyperlink r:id="rId37">
        <w:bookmarkEnd w:id="29"/>
        <w:r>
          <w:rPr>
            <w:rStyle w:val="Style8"/>
            <w:rFonts w:eastAsia="helvetica neue" w:cs="Times New Roman" w:ascii="Times New Roman" w:hAnsi="Times New Roman"/>
            <w:sz w:val="24"/>
            <w:szCs w:val="24"/>
            <w:u w:val="single"/>
          </w:rPr>
          <w:t>https://www.ijser.in/archives/v13i8/SE25824231448.pdf</w:t>
        </w:r>
      </w:hyperlink>
      <w:r>
        <w:rPr>
          <w:rFonts w:eastAsia="Georgia" w:cs="Times New Roman" w:ascii="Times New Roman" w:hAnsi="Times New Roman"/>
          <w:color w:val="000000"/>
          <w:sz w:val="24"/>
          <w:szCs w:val="24"/>
        </w:rPr>
        <w:t xml:space="preserve"> </w:t>
      </w:r>
      <w:bookmarkStart w:id="30" w:name="fn28"/>
    </w:p>
    <w:p>
      <w:pPr>
        <w:pStyle w:val="Normal"/>
        <w:numPr>
          <w:ilvl w:val="0"/>
          <w:numId w:val="1"/>
        </w:numPr>
        <w:spacing w:lineRule="auto" w:line="360" w:before="0" w:after="210"/>
        <w:rPr>
          <w:rFonts w:ascii="Times New Roman" w:hAnsi="Times New Roman" w:cs="Times New Roman"/>
          <w:sz w:val="24"/>
          <w:szCs w:val="24"/>
        </w:rPr>
      </w:pPr>
      <w:hyperlink r:id="rId38">
        <w:bookmarkEnd w:id="30"/>
        <w:r>
          <w:rPr>
            <w:rStyle w:val="Style8"/>
            <w:rFonts w:eastAsia="helvetica neue" w:cs="Times New Roman" w:ascii="Times New Roman" w:hAnsi="Times New Roman"/>
            <w:sz w:val="24"/>
            <w:szCs w:val="24"/>
            <w:u w:val="single"/>
          </w:rPr>
          <w:t>https://www.newsonair.gov.in/over-12-48-lakh-cases-settled-in-one-day-at-telangana-lok-adalat/</w:t>
        </w:r>
      </w:hyperlink>
      <w:r>
        <w:rPr>
          <w:rFonts w:eastAsia="Georgia" w:cs="Times New Roman" w:ascii="Times New Roman" w:hAnsi="Times New Roman"/>
          <w:color w:val="000000"/>
          <w:sz w:val="24"/>
          <w:szCs w:val="24"/>
        </w:rPr>
        <w:t xml:space="preserve"> </w:t>
      </w:r>
      <w:bookmarkStart w:id="31" w:name="fn29"/>
    </w:p>
    <w:p>
      <w:pPr>
        <w:pStyle w:val="Normal"/>
        <w:numPr>
          <w:ilvl w:val="0"/>
          <w:numId w:val="1"/>
        </w:numPr>
        <w:spacing w:lineRule="auto" w:line="360" w:before="0" w:after="210"/>
        <w:rPr>
          <w:rFonts w:ascii="Times New Roman" w:hAnsi="Times New Roman" w:cs="Times New Roman"/>
          <w:sz w:val="24"/>
          <w:szCs w:val="24"/>
        </w:rPr>
      </w:pPr>
      <w:hyperlink r:id="rId39">
        <w:bookmarkEnd w:id="31"/>
        <w:r>
          <w:rPr>
            <w:rStyle w:val="Style8"/>
            <w:rFonts w:eastAsia="helvetica neue" w:cs="Times New Roman" w:ascii="Times New Roman" w:hAnsi="Times New Roman"/>
            <w:sz w:val="24"/>
            <w:szCs w:val="24"/>
            <w:u w:val="single"/>
          </w:rPr>
          <w:t>https://gblrscclp.in/2024/02/16/sebis-smart-odr-a-technological-leap-in-dispute-resolution/</w:t>
        </w:r>
      </w:hyperlink>
      <w:r>
        <w:rPr>
          <w:rFonts w:eastAsia="Georgia" w:cs="Times New Roman" w:ascii="Times New Roman" w:hAnsi="Times New Roman"/>
          <w:color w:val="000000"/>
          <w:sz w:val="24"/>
          <w:szCs w:val="24"/>
        </w:rPr>
        <w:t xml:space="preserve"> </w:t>
      </w:r>
      <w:bookmarkStart w:id="32" w:name="fn30"/>
    </w:p>
    <w:p>
      <w:pPr>
        <w:pStyle w:val="Normal"/>
        <w:numPr>
          <w:ilvl w:val="0"/>
          <w:numId w:val="1"/>
        </w:numPr>
        <w:spacing w:lineRule="auto" w:line="360" w:before="0" w:after="210"/>
        <w:rPr>
          <w:rFonts w:ascii="Times New Roman" w:hAnsi="Times New Roman" w:cs="Times New Roman"/>
          <w:sz w:val="24"/>
          <w:szCs w:val="24"/>
        </w:rPr>
      </w:pPr>
      <w:hyperlink r:id="rId40">
        <w:bookmarkEnd w:id="32"/>
        <w:r>
          <w:rPr>
            <w:rStyle w:val="Style8"/>
            <w:rFonts w:eastAsia="helvetica neue" w:cs="Times New Roman" w:ascii="Times New Roman" w:hAnsi="Times New Roman"/>
            <w:sz w:val="24"/>
            <w:szCs w:val="24"/>
            <w:u w:val="single"/>
          </w:rPr>
          <w:t>https://economictimes.com/news/india/over-one-crore-cases-settled-in-national-lok-adalat-in-a-day-says-nalsa/articleshow/93560369.cms</w:t>
        </w:r>
      </w:hyperlink>
      <w:r>
        <w:rPr>
          <w:rFonts w:eastAsia="Georgia" w:cs="Times New Roman" w:ascii="Times New Roman" w:hAnsi="Times New Roman"/>
          <w:color w:val="000000"/>
          <w:sz w:val="24"/>
          <w:szCs w:val="24"/>
        </w:rPr>
        <w:t xml:space="preserve"> </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alibri Light">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00"/>
        </w:tabs>
        <w:ind w:start="54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690" w:hanging="360"/>
      </w:pPr>
      <w:rPr/>
    </w:lvl>
    <w:lvl w:ilvl="1">
      <w:start w:val="1"/>
      <w:numFmt w:val="lowerLetter"/>
      <w:lvlText w:val="%2."/>
      <w:lvlJc w:val="start"/>
      <w:pPr>
        <w:tabs>
          <w:tab w:val="num" w:pos="0"/>
        </w:tabs>
        <w:ind w:start="1410" w:hanging="360"/>
      </w:pPr>
      <w:rPr/>
    </w:lvl>
    <w:lvl w:ilvl="2">
      <w:start w:val="1"/>
      <w:numFmt w:val="lowerRoman"/>
      <w:lvlText w:val="%3."/>
      <w:lvlJc w:val="end"/>
      <w:pPr>
        <w:tabs>
          <w:tab w:val="num" w:pos="0"/>
        </w:tabs>
        <w:ind w:start="2130" w:hanging="180"/>
      </w:pPr>
      <w:rPr/>
    </w:lvl>
    <w:lvl w:ilvl="3">
      <w:start w:val="1"/>
      <w:numFmt w:val="decimal"/>
      <w:lvlText w:val="%4."/>
      <w:lvlJc w:val="start"/>
      <w:pPr>
        <w:tabs>
          <w:tab w:val="num" w:pos="0"/>
        </w:tabs>
        <w:ind w:start="2850" w:hanging="360"/>
      </w:pPr>
      <w:rPr/>
    </w:lvl>
    <w:lvl w:ilvl="4">
      <w:start w:val="1"/>
      <w:numFmt w:val="lowerLetter"/>
      <w:lvlText w:val="%5."/>
      <w:lvlJc w:val="start"/>
      <w:pPr>
        <w:tabs>
          <w:tab w:val="num" w:pos="0"/>
        </w:tabs>
        <w:ind w:start="3570" w:hanging="360"/>
      </w:pPr>
      <w:rPr/>
    </w:lvl>
    <w:lvl w:ilvl="5">
      <w:start w:val="1"/>
      <w:numFmt w:val="lowerRoman"/>
      <w:lvlText w:val="%6."/>
      <w:lvlJc w:val="end"/>
      <w:pPr>
        <w:tabs>
          <w:tab w:val="num" w:pos="0"/>
        </w:tabs>
        <w:ind w:start="4290" w:hanging="180"/>
      </w:pPr>
      <w:rPr/>
    </w:lvl>
    <w:lvl w:ilvl="6">
      <w:start w:val="1"/>
      <w:numFmt w:val="decimal"/>
      <w:lvlText w:val="%7."/>
      <w:lvlJc w:val="start"/>
      <w:pPr>
        <w:tabs>
          <w:tab w:val="num" w:pos="0"/>
        </w:tabs>
        <w:ind w:start="5010" w:hanging="360"/>
      </w:pPr>
      <w:rPr/>
    </w:lvl>
    <w:lvl w:ilvl="7">
      <w:start w:val="1"/>
      <w:numFmt w:val="lowerLetter"/>
      <w:lvlText w:val="%8."/>
      <w:lvlJc w:val="start"/>
      <w:pPr>
        <w:tabs>
          <w:tab w:val="num" w:pos="0"/>
        </w:tabs>
        <w:ind w:start="5730" w:hanging="360"/>
      </w:pPr>
      <w:rPr/>
    </w:lvl>
    <w:lvl w:ilvl="8">
      <w:start w:val="1"/>
      <w:numFmt w:val="lowerRoman"/>
      <w:lvlText w:val="%9."/>
      <w:lvlJc w:val="end"/>
      <w:pPr>
        <w:tabs>
          <w:tab w:val="num" w:pos="0"/>
        </w:tabs>
        <w:ind w:start="6450" w:hanging="180"/>
      </w:pPr>
      <w:rPr/>
    </w:lvl>
  </w:abstractNum>
  <w:abstractNum w:abstractNumId="3">
    <w:lvl w:ilvl="0">
      <w:start w:val="1"/>
      <w:numFmt w:val="decimal"/>
      <w:lvlText w:val="%1."/>
      <w:lvlJc w:val="start"/>
      <w:pPr>
        <w:tabs>
          <w:tab w:val="num" w:pos="0"/>
        </w:tabs>
        <w:ind w:start="690" w:hanging="360"/>
      </w:pPr>
      <w:rPr/>
    </w:lvl>
    <w:lvl w:ilvl="1">
      <w:start w:val="1"/>
      <w:numFmt w:val="lowerLetter"/>
      <w:lvlText w:val="%2."/>
      <w:lvlJc w:val="start"/>
      <w:pPr>
        <w:tabs>
          <w:tab w:val="num" w:pos="0"/>
        </w:tabs>
        <w:ind w:start="1410" w:hanging="360"/>
      </w:pPr>
      <w:rPr/>
    </w:lvl>
    <w:lvl w:ilvl="2">
      <w:start w:val="1"/>
      <w:numFmt w:val="lowerRoman"/>
      <w:lvlText w:val="%3."/>
      <w:lvlJc w:val="end"/>
      <w:pPr>
        <w:tabs>
          <w:tab w:val="num" w:pos="0"/>
        </w:tabs>
        <w:ind w:start="2130" w:hanging="180"/>
      </w:pPr>
      <w:rPr/>
    </w:lvl>
    <w:lvl w:ilvl="3">
      <w:start w:val="1"/>
      <w:numFmt w:val="decimal"/>
      <w:lvlText w:val="%4."/>
      <w:lvlJc w:val="start"/>
      <w:pPr>
        <w:tabs>
          <w:tab w:val="num" w:pos="0"/>
        </w:tabs>
        <w:ind w:start="2850" w:hanging="360"/>
      </w:pPr>
      <w:rPr/>
    </w:lvl>
    <w:lvl w:ilvl="4">
      <w:start w:val="1"/>
      <w:numFmt w:val="lowerLetter"/>
      <w:lvlText w:val="%5."/>
      <w:lvlJc w:val="start"/>
      <w:pPr>
        <w:tabs>
          <w:tab w:val="num" w:pos="0"/>
        </w:tabs>
        <w:ind w:start="3570" w:hanging="360"/>
      </w:pPr>
      <w:rPr/>
    </w:lvl>
    <w:lvl w:ilvl="5">
      <w:start w:val="1"/>
      <w:numFmt w:val="lowerRoman"/>
      <w:lvlText w:val="%6."/>
      <w:lvlJc w:val="end"/>
      <w:pPr>
        <w:tabs>
          <w:tab w:val="num" w:pos="0"/>
        </w:tabs>
        <w:ind w:start="4290" w:hanging="180"/>
      </w:pPr>
      <w:rPr/>
    </w:lvl>
    <w:lvl w:ilvl="6">
      <w:start w:val="1"/>
      <w:numFmt w:val="decimal"/>
      <w:lvlText w:val="%7."/>
      <w:lvlJc w:val="start"/>
      <w:pPr>
        <w:tabs>
          <w:tab w:val="num" w:pos="0"/>
        </w:tabs>
        <w:ind w:start="5010" w:hanging="360"/>
      </w:pPr>
      <w:rPr/>
    </w:lvl>
    <w:lvl w:ilvl="7">
      <w:start w:val="1"/>
      <w:numFmt w:val="lowerLetter"/>
      <w:lvlText w:val="%8."/>
      <w:lvlJc w:val="start"/>
      <w:pPr>
        <w:tabs>
          <w:tab w:val="num" w:pos="0"/>
        </w:tabs>
        <w:ind w:start="5730" w:hanging="360"/>
      </w:pPr>
      <w:rPr/>
    </w:lvl>
    <w:lvl w:ilvl="8">
      <w:start w:val="1"/>
      <w:numFmt w:val="lowerRoman"/>
      <w:lvlText w:val="%9."/>
      <w:lvlJc w:val="end"/>
      <w:pPr>
        <w:tabs>
          <w:tab w:val="num" w:pos="0"/>
        </w:tabs>
        <w:ind w:start="6450" w:hanging="180"/>
      </w:pPr>
      <w:rPr/>
    </w:lvl>
  </w:abstractNum>
  <w:abstractNum w:abstractNumId="4">
    <w:lvl w:ilvl="0">
      <w:start w:val="1"/>
      <w:numFmt w:val="decimal"/>
      <w:lvlText w:val="%1."/>
      <w:lvlJc w:val="start"/>
      <w:pPr>
        <w:tabs>
          <w:tab w:val="num" w:pos="0"/>
        </w:tabs>
        <w:ind w:start="690" w:hanging="360"/>
      </w:pPr>
      <w:rPr/>
    </w:lvl>
    <w:lvl w:ilvl="1">
      <w:start w:val="1"/>
      <w:numFmt w:val="lowerLetter"/>
      <w:lvlText w:val="%2."/>
      <w:lvlJc w:val="start"/>
      <w:pPr>
        <w:tabs>
          <w:tab w:val="num" w:pos="0"/>
        </w:tabs>
        <w:ind w:start="1410" w:hanging="360"/>
      </w:pPr>
      <w:rPr/>
    </w:lvl>
    <w:lvl w:ilvl="2">
      <w:start w:val="1"/>
      <w:numFmt w:val="lowerRoman"/>
      <w:lvlText w:val="%3."/>
      <w:lvlJc w:val="end"/>
      <w:pPr>
        <w:tabs>
          <w:tab w:val="num" w:pos="0"/>
        </w:tabs>
        <w:ind w:start="2130" w:hanging="180"/>
      </w:pPr>
      <w:rPr/>
    </w:lvl>
    <w:lvl w:ilvl="3">
      <w:start w:val="1"/>
      <w:numFmt w:val="decimal"/>
      <w:lvlText w:val="%4."/>
      <w:lvlJc w:val="start"/>
      <w:pPr>
        <w:tabs>
          <w:tab w:val="num" w:pos="0"/>
        </w:tabs>
        <w:ind w:start="2850" w:hanging="360"/>
      </w:pPr>
      <w:rPr/>
    </w:lvl>
    <w:lvl w:ilvl="4">
      <w:start w:val="1"/>
      <w:numFmt w:val="lowerLetter"/>
      <w:lvlText w:val="%5."/>
      <w:lvlJc w:val="start"/>
      <w:pPr>
        <w:tabs>
          <w:tab w:val="num" w:pos="0"/>
        </w:tabs>
        <w:ind w:start="3570" w:hanging="360"/>
      </w:pPr>
      <w:rPr/>
    </w:lvl>
    <w:lvl w:ilvl="5">
      <w:start w:val="1"/>
      <w:numFmt w:val="lowerRoman"/>
      <w:lvlText w:val="%6."/>
      <w:lvlJc w:val="end"/>
      <w:pPr>
        <w:tabs>
          <w:tab w:val="num" w:pos="0"/>
        </w:tabs>
        <w:ind w:start="4290" w:hanging="180"/>
      </w:pPr>
      <w:rPr/>
    </w:lvl>
    <w:lvl w:ilvl="6">
      <w:start w:val="1"/>
      <w:numFmt w:val="decimal"/>
      <w:lvlText w:val="%7."/>
      <w:lvlJc w:val="start"/>
      <w:pPr>
        <w:tabs>
          <w:tab w:val="num" w:pos="0"/>
        </w:tabs>
        <w:ind w:start="5010" w:hanging="360"/>
      </w:pPr>
      <w:rPr/>
    </w:lvl>
    <w:lvl w:ilvl="7">
      <w:start w:val="1"/>
      <w:numFmt w:val="lowerLetter"/>
      <w:lvlText w:val="%8."/>
      <w:lvlJc w:val="start"/>
      <w:pPr>
        <w:tabs>
          <w:tab w:val="num" w:pos="0"/>
        </w:tabs>
        <w:ind w:start="5730" w:hanging="360"/>
      </w:pPr>
      <w:rPr/>
    </w:lvl>
    <w:lvl w:ilvl="8">
      <w:start w:val="1"/>
      <w:numFmt w:val="lowerRoman"/>
      <w:lvlText w:val="%9."/>
      <w:lvlJc w:val="end"/>
      <w:pPr>
        <w:tabs>
          <w:tab w:val="num" w:pos="0"/>
        </w:tabs>
        <w:ind w:start="6450" w:hanging="180"/>
      </w:pPr>
      <w:rPr/>
    </w:lvl>
  </w:abstractNum>
  <w:abstractNum w:abstractNumId="5">
    <w:lvl w:ilvl="0">
      <w:start w:val="1"/>
      <w:numFmt w:val="decimal"/>
      <w:lvlText w:val="%1."/>
      <w:lvlJc w:val="start"/>
      <w:pPr>
        <w:tabs>
          <w:tab w:val="num" w:pos="0"/>
        </w:tabs>
        <w:ind w:start="690" w:hanging="360"/>
      </w:pPr>
      <w:rPr/>
    </w:lvl>
    <w:lvl w:ilvl="1">
      <w:start w:val="1"/>
      <w:numFmt w:val="lowerLetter"/>
      <w:lvlText w:val="%2."/>
      <w:lvlJc w:val="start"/>
      <w:pPr>
        <w:tabs>
          <w:tab w:val="num" w:pos="0"/>
        </w:tabs>
        <w:ind w:start="1410" w:hanging="360"/>
      </w:pPr>
      <w:rPr/>
    </w:lvl>
    <w:lvl w:ilvl="2">
      <w:start w:val="1"/>
      <w:numFmt w:val="lowerRoman"/>
      <w:lvlText w:val="%3."/>
      <w:lvlJc w:val="end"/>
      <w:pPr>
        <w:tabs>
          <w:tab w:val="num" w:pos="0"/>
        </w:tabs>
        <w:ind w:start="2130" w:hanging="180"/>
      </w:pPr>
      <w:rPr/>
    </w:lvl>
    <w:lvl w:ilvl="3">
      <w:start w:val="1"/>
      <w:numFmt w:val="decimal"/>
      <w:lvlText w:val="%4."/>
      <w:lvlJc w:val="start"/>
      <w:pPr>
        <w:tabs>
          <w:tab w:val="num" w:pos="0"/>
        </w:tabs>
        <w:ind w:start="2850" w:hanging="360"/>
      </w:pPr>
      <w:rPr/>
    </w:lvl>
    <w:lvl w:ilvl="4">
      <w:start w:val="1"/>
      <w:numFmt w:val="lowerLetter"/>
      <w:lvlText w:val="%5."/>
      <w:lvlJc w:val="start"/>
      <w:pPr>
        <w:tabs>
          <w:tab w:val="num" w:pos="0"/>
        </w:tabs>
        <w:ind w:start="3570" w:hanging="360"/>
      </w:pPr>
      <w:rPr/>
    </w:lvl>
    <w:lvl w:ilvl="5">
      <w:start w:val="1"/>
      <w:numFmt w:val="lowerRoman"/>
      <w:lvlText w:val="%6."/>
      <w:lvlJc w:val="end"/>
      <w:pPr>
        <w:tabs>
          <w:tab w:val="num" w:pos="0"/>
        </w:tabs>
        <w:ind w:start="4290" w:hanging="180"/>
      </w:pPr>
      <w:rPr/>
    </w:lvl>
    <w:lvl w:ilvl="6">
      <w:start w:val="1"/>
      <w:numFmt w:val="decimal"/>
      <w:lvlText w:val="%7."/>
      <w:lvlJc w:val="start"/>
      <w:pPr>
        <w:tabs>
          <w:tab w:val="num" w:pos="0"/>
        </w:tabs>
        <w:ind w:start="5010" w:hanging="360"/>
      </w:pPr>
      <w:rPr/>
    </w:lvl>
    <w:lvl w:ilvl="7">
      <w:start w:val="1"/>
      <w:numFmt w:val="lowerLetter"/>
      <w:lvlText w:val="%8."/>
      <w:lvlJc w:val="start"/>
      <w:pPr>
        <w:tabs>
          <w:tab w:val="num" w:pos="0"/>
        </w:tabs>
        <w:ind w:start="5730" w:hanging="360"/>
      </w:pPr>
      <w:rPr/>
    </w:lvl>
    <w:lvl w:ilvl="8">
      <w:start w:val="1"/>
      <w:numFmt w:val="lowerRoman"/>
      <w:lvlText w:val="%9."/>
      <w:lvlJc w:val="end"/>
      <w:pPr>
        <w:tabs>
          <w:tab w:val="num" w:pos="0"/>
        </w:tabs>
        <w:ind w:start="6450" w:hanging="180"/>
      </w:pPr>
      <w:rPr/>
    </w:lvl>
  </w:abstractNum>
  <w:abstractNum w:abstractNumId="6">
    <w:lvl w:ilvl="0">
      <w:start w:val="1"/>
      <w:numFmt w:val="decimal"/>
      <w:lvlText w:val="%1."/>
      <w:lvlJc w:val="start"/>
      <w:pPr>
        <w:tabs>
          <w:tab w:val="num" w:pos="0"/>
        </w:tabs>
        <w:ind w:start="690" w:hanging="360"/>
      </w:pPr>
      <w:rPr/>
    </w:lvl>
    <w:lvl w:ilvl="1">
      <w:start w:val="0"/>
      <w:numFmt w:val="bullet"/>
      <w:lvlText w:val=""/>
      <w:lvlJc w:val="start"/>
      <w:pPr>
        <w:tabs>
          <w:tab w:val="num" w:pos="0"/>
        </w:tabs>
        <w:ind w:start="1806" w:hanging="756"/>
      </w:pPr>
      <w:rPr>
        <w:rFonts w:ascii="Symbol" w:hAnsi="Symbol" w:cs="Symbol" w:hint="default"/>
      </w:rPr>
    </w:lvl>
    <w:lvl w:ilvl="2">
      <w:start w:val="1"/>
      <w:numFmt w:val="lowerRoman"/>
      <w:lvlText w:val="%3."/>
      <w:lvlJc w:val="end"/>
      <w:pPr>
        <w:tabs>
          <w:tab w:val="num" w:pos="0"/>
        </w:tabs>
        <w:ind w:start="2130" w:hanging="180"/>
      </w:pPr>
      <w:rPr/>
    </w:lvl>
    <w:lvl w:ilvl="3">
      <w:start w:val="1"/>
      <w:numFmt w:val="decimal"/>
      <w:lvlText w:val="%4."/>
      <w:lvlJc w:val="start"/>
      <w:pPr>
        <w:tabs>
          <w:tab w:val="num" w:pos="0"/>
        </w:tabs>
        <w:ind w:start="2850" w:hanging="360"/>
      </w:pPr>
      <w:rPr/>
    </w:lvl>
    <w:lvl w:ilvl="4">
      <w:start w:val="1"/>
      <w:numFmt w:val="lowerLetter"/>
      <w:lvlText w:val="%5."/>
      <w:lvlJc w:val="start"/>
      <w:pPr>
        <w:tabs>
          <w:tab w:val="num" w:pos="0"/>
        </w:tabs>
        <w:ind w:start="3570" w:hanging="360"/>
      </w:pPr>
      <w:rPr/>
    </w:lvl>
    <w:lvl w:ilvl="5">
      <w:start w:val="1"/>
      <w:numFmt w:val="lowerRoman"/>
      <w:lvlText w:val="%6."/>
      <w:lvlJc w:val="end"/>
      <w:pPr>
        <w:tabs>
          <w:tab w:val="num" w:pos="0"/>
        </w:tabs>
        <w:ind w:start="4290" w:hanging="180"/>
      </w:pPr>
      <w:rPr/>
    </w:lvl>
    <w:lvl w:ilvl="6">
      <w:start w:val="1"/>
      <w:numFmt w:val="decimal"/>
      <w:lvlText w:val="%7."/>
      <w:lvlJc w:val="start"/>
      <w:pPr>
        <w:tabs>
          <w:tab w:val="num" w:pos="0"/>
        </w:tabs>
        <w:ind w:start="5010" w:hanging="360"/>
      </w:pPr>
      <w:rPr/>
    </w:lvl>
    <w:lvl w:ilvl="7">
      <w:start w:val="1"/>
      <w:numFmt w:val="lowerLetter"/>
      <w:lvlText w:val="%8."/>
      <w:lvlJc w:val="start"/>
      <w:pPr>
        <w:tabs>
          <w:tab w:val="num" w:pos="0"/>
        </w:tabs>
        <w:ind w:start="5730" w:hanging="360"/>
      </w:pPr>
      <w:rPr/>
    </w:lvl>
    <w:lvl w:ilvl="8">
      <w:start w:val="1"/>
      <w:numFmt w:val="lowerRoman"/>
      <w:lvlText w:val="%9."/>
      <w:lvlJc w:val="end"/>
      <w:pPr>
        <w:tabs>
          <w:tab w:val="num" w:pos="0"/>
        </w:tabs>
        <w:ind w:start="645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Calibri" w:cs="Mangal" w:cstheme="minorBidi" w:eastAsiaTheme="minorHAnsi" w:hAnsiTheme="minorHAnsi"/>
        <w:sz w:val="21"/>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tLeast" w:line="240" w:before="0" w:after="120"/>
      <w:jc w:val="start"/>
    </w:pPr>
    <w:rPr>
      <w:rFonts w:ascii="Georgia" w:hAnsi="Georgia" w:eastAsia="Calibri" w:cs="Mangal" w:cstheme="minorBidi" w:eastAsiaTheme="minorHAnsi" w:hAnsiTheme="minorHAnsi"/>
      <w:color w:val="auto"/>
      <w:kern w:val="0"/>
      <w:sz w:val="21"/>
      <w:szCs w:val="22"/>
      <w:lang w:val="en-US" w:eastAsia="en-US" w:bidi="ar-SA"/>
    </w:rPr>
  </w:style>
  <w:style w:type="paragraph" w:styleId="Heading1">
    <w:name w:val="heading 1"/>
    <w:basedOn w:val="Normal"/>
    <w:next w:val="Normal"/>
    <w:link w:val="Heading1Char"/>
    <w:uiPriority w:val="9"/>
    <w:qFormat/>
    <w:rsid w:val="00064a83"/>
    <w:pPr>
      <w:keepNext w:val="true"/>
      <w:keepLines/>
      <w:spacing w:before="240" w:after="0"/>
      <w:outlineLvl w:val="0"/>
    </w:pPr>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VerbatimChar" w:customStyle="1">
    <w:name w:val="Verbatim Char"/>
    <w:qFormat/>
    <w:rPr>
      <w:rFonts w:ascii="Consolas" w:hAnsi="Consolas"/>
      <w:sz w:val="22"/>
    </w:rPr>
  </w:style>
  <w:style w:type="character" w:styleId="FootnoteTextChar" w:customStyle="1">
    <w:name w:val="Footnote Text Char"/>
    <w:basedOn w:val="DefaultParagraphFont"/>
    <w:link w:val="FootnoteText"/>
    <w:uiPriority w:val="99"/>
    <w:semiHidden/>
    <w:qFormat/>
    <w:rsid w:val="00767669"/>
    <w:rPr>
      <w:sz w:val="20"/>
      <w:szCs w:val="20"/>
    </w:rPr>
  </w:style>
  <w:style w:type="character" w:styleId="FootnoteCharacters">
    <w:name w:val="Footnote Characters"/>
    <w:basedOn w:val="DefaultParagraphFont"/>
    <w:uiPriority w:val="99"/>
    <w:semiHidden/>
    <w:unhideWhenUsed/>
    <w:qFormat/>
    <w:rsid w:val="00767669"/>
    <w:rPr>
      <w:vertAlign w:val="superscript"/>
    </w:rPr>
  </w:style>
  <w:style w:type="character" w:styleId="FootnoteReference">
    <w:name w:val="footnote reference"/>
    <w:rPr>
      <w:vertAlign w:val="superscript"/>
    </w:rPr>
  </w:style>
  <w:style w:type="character" w:styleId="Heading1Char" w:customStyle="1">
    <w:name w:val="Heading 1 Char"/>
    <w:basedOn w:val="DefaultParagraphFont"/>
    <w:link w:val="Heading1"/>
    <w:uiPriority w:val="9"/>
    <w:qFormat/>
    <w:rsid w:val="00064a83"/>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064a83"/>
    <w:rPr>
      <w:color w:themeColor="hyperlink" w:val="0563C1"/>
      <w:u w:val="single"/>
    </w:rPr>
  </w:style>
  <w:style w:type="character" w:styleId="UnresolvedMention">
    <w:name w:val="Unresolved Mention"/>
    <w:basedOn w:val="DefaultParagraphFont"/>
    <w:uiPriority w:val="99"/>
    <w:semiHidden/>
    <w:unhideWhenUsed/>
    <w:qFormat/>
    <w:rsid w:val="00064a8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FootnoteTextChar"/>
    <w:uiPriority w:val="99"/>
    <w:semiHidden/>
    <w:unhideWhenUsed/>
    <w:rsid w:val="00767669"/>
    <w:pPr>
      <w:spacing w:lineRule="auto" w:line="240" w:before="0" w:after="0"/>
    </w:pPr>
    <w:rPr>
      <w:sz w:val="20"/>
      <w:szCs w:val="20"/>
    </w:rPr>
  </w:style>
  <w:style w:type="paragraph" w:styleId="ListParagraph">
    <w:name w:val="List Paragraph"/>
    <w:basedOn w:val="Normal"/>
    <w:uiPriority w:val="34"/>
    <w:qFormat/>
    <w:rsid w:val="00064a83"/>
    <w:pPr>
      <w:spacing w:before="0" w:after="12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ib.gov.in/PressReleasePage.aspx?PRID=1776202" TargetMode="External"/><Relationship Id="rId3" Type="http://schemas.openxmlformats.org/officeDocument/2006/relationships/hyperlink" Target="https://nliulawreview.nliu.ac.in/blog/revolutionizing-justice-niti-aayogs-odr-blueprint-for-india/" TargetMode="External"/><Relationship Id="rId4" Type="http://schemas.openxmlformats.org/officeDocument/2006/relationships/hyperlink" Target="https://www.pib.gov.in/PressReleasePage.aspx?PRID=1776202" TargetMode="External"/><Relationship Id="rId5" Type="http://schemas.openxmlformats.org/officeDocument/2006/relationships/hyperlink" Target="https://nliulawreview.nliu.ac.in/blog/revolutionizing-justice-niti-aayogs-odr-blueprint-to-india" TargetMode="External"/><Relationship Id="rId6" Type="http://schemas.openxmlformats.org/officeDocument/2006/relationships/hyperlink" Target="https://belgravia.law/news/hkiac-issues-guidance-on-arbitration-clause-compatibility-for-consolidation-and-multi-contract-arbitrations/" TargetMode="External"/><Relationship Id="rId7" Type="http://schemas.openxmlformats.org/officeDocument/2006/relationships/hyperlink" Target="https://www.doj.gov.hk/en/communityengagement/press/20240202pr1.html" TargetMode="External"/><Relationship Id="rId8" Type="http://schemas.openxmlformats.org/officeDocument/2006/relationships/hyperlink" Target="https://theprint.in/india/1-13-crore-cases-settled-in-1st-national-lok-adalat-of-2024/1994835/" TargetMode="External"/><Relationship Id="rId9" Type="http://schemas.openxmlformats.org/officeDocument/2006/relationships/hyperlink" Target="https://smefutures.com/msme-day-2025-theme-news-online-dispute-resolution-odr-portal/" TargetMode="External"/><Relationship Id="rId10" Type="http://schemas.openxmlformats.org/officeDocument/2006/relationships/hyperlink" Target="https://abfrl.com/wp-content/uploads/2023/12/SEBI-Circulars-Smart-ODR-Portal.pdf" TargetMode="External"/><Relationship Id="rId11" Type="http://schemas.openxmlformats.org/officeDocument/2006/relationships/hyperlink" Target="https://investor.sebi.gov.in/smart_orr.html" TargetMode="External"/><Relationship Id="rId12" Type="http://schemas.openxmlformats.org/officeDocument/2006/relationships/hyperlink" Target="https://www.pib.gov.in/PressReleasePage.aspx?PRID=1776202" TargetMode="External"/><Relationship Id="rId13" Type="http://schemas.openxmlformats.org/officeDocument/2006/relationships/hyperlink" Target="https://nliulawreview.nliu.ac.in/blog/revolutionizing-justice-niti-aayogs-odr-blueprint-for-india/" TargetMode="External"/><Relationship Id="rId14" Type="http://schemas.openxmlformats.org/officeDocument/2006/relationships/hyperlink" Target="https://www.hahnlaw.com/insights/gleason-brauer-secure-order-sending-crypto-users-lawsuit-to-arbitration/" TargetMode="External"/><Relationship Id="rId15" Type="http://schemas.openxmlformats.org/officeDocument/2006/relationships/hyperlink" Target="https://www.pinsentmasons.com/out-law/analysis/growing-demand-expertise-cryptocurrency-related-arbitration" TargetMode="External"/><Relationship Id="rId16" Type="http://schemas.openxmlformats.org/officeDocument/2006/relationships/hyperlink" Target="https://lawfyi.io/trimex-international-fze-vs-vedanta-aluminium-limitedindia-on-22-january-2010-case-summary/" TargetMode="External"/><Relationship Id="rId17" Type="http://schemas.openxmlformats.org/officeDocument/2006/relationships/hyperlink" Target="https://papers.ssrn.com/sol3/papers.cfm?abstract_id=2060866" TargetMode="External"/><Relationship Id="rId18" Type="http://schemas.openxmlformats.org/officeDocument/2006/relationships/hyperlink" Target="http://practicalacademic.blogspot.com/2010/03/trimex-v-vedanta_02.html" TargetMode="External"/><Relationship Id="rId19" Type="http://schemas.openxmlformats.org/officeDocument/2006/relationships/hyperlink" Target="https://www.mofo.com/resources/insights/260304-hkiac-s-2025-statistics-highlight-record-caseload" TargetMode="External"/><Relationship Id="rId20" Type="http://schemas.openxmlformats.org/officeDocument/2006/relationships/hyperlink" Target="https://www.legalbites.in/bharatiya-Sakshya-adhiniyam/admissibility-of-electronic-evidence-under-bharatiya-sakshya-adhiniyam-1080257" TargetMode="External"/><Relationship Id="rId21" Type="http://schemas.openxmlformats.org/officeDocument/2006/relationships/hyperlink" Target="https://prsindia.org/billtrack/the-bharatiya-sakshya-bill-2023" TargetMode="External"/><Relationship Id="rId22" Type="http://schemas.openxmlformats.org/officeDocument/2006/relationships/hyperlink" Target="https://belgravia.law/news/hkiac-issues-guidance-on-arbitration-clause-compatibility-for-consolidation-and-multi-contract-arbitrations" TargetMode="External"/><Relationship Id="rId23" Type="http://schemas.openxmlformats.org/officeDocument/2006/relationships/hyperlink" Target="https://www.hsfkramer.com/notes/adr/2025-posts/convention-on-the-establishment-of-the-international-organization-for-mediation-to-be-signed-in-hong-kong-in-2025" TargetMode="External"/><Relationship Id="rId24" Type="http://schemas.openxmlformats.org/officeDocument/2006/relationships/hyperlink" Target="https://www.studyiq.com/articles/judicial-backlog-in-india/" TargetMode="External"/><Relationship Id="rId25" Type="http://schemas.openxmlformats.org/officeDocument/2006/relationships/hyperlink" Target="https://visionias.in/current-affairs/news-today/2025-09-15/polity-and-governance/supreme-court-case-backlog-hits-all-time-high-with-88417-pending-cases" TargetMode="External"/><Relationship Id="rId26" Type="http://schemas.openxmlformats.org/officeDocument/2006/relationships/hyperlink" Target="https://theprint.in/india/1-13-crore-cases-settled-in-1st-national-lok-adalat-of-2024/1994835/" TargetMode="External"/><Relationship Id="rId27" Type="http://schemas.openxmlformats.org/officeDocument/2006/relationships/hyperlink" Target="https://www.barandbench.com/news/113-crore-cases-involving-806529-crore-resolved-first-national-lok-adalat-2024" TargetMode="External"/><Relationship Id="rId28" Type="http://schemas.openxmlformats.org/officeDocument/2006/relationships/hyperlink" Target="https://smefutures.com/msme-day-2025-theme-news-online-dispute-resolution-odr-portal/" TargetMode="External"/><Relationship Id="rId29" Type="http://schemas.openxmlformats.org/officeDocument/2006/relationships/hyperlink" Target="https://taxguru.in/corporate-law/msme-odr-portal-mandatory-delayed-payments.html" TargetMode="External"/><Relationship Id="rId30" Type="http://schemas.openxmlformats.org/officeDocument/2006/relationships/hyperlink" Target="https://www.linkedin.com/posts/webteldotin_msme-odr-digitalindia-activity-7384533319549558784-7J97" TargetMode="External"/><Relationship Id="rId31" Type="http://schemas.openxmlformats.org/officeDocument/2006/relationships/hyperlink" Target="https://disputeresolution.cyrilamarchandblogs.com/2023/10/resolving-securities-disputes-in-the-digital-age-a-primer-on-sebis-master-circular-for-online-resolution-of-disputes-in-the-indian-securities-market/" TargetMode="External"/><Relationship Id="rId32" Type="http://schemas.openxmlformats.org/officeDocument/2006/relationships/hyperlink" Target="https://www.abfrl.com/wp-content/uploads/2023/12/SEBI-Circulars-Smart-ODR-Portal.pdf" TargetMode="External"/><Relationship Id="rId33" Type="http://schemas.openxmlformats.org/officeDocument/2006/relationships/hyperlink" Target="https://investor.sebi.gov.in/smart_orr.html" TargetMode="External"/><Relationship Id="rId34" Type="http://schemas.openxmlformats.org/officeDocument/2006/relationships/hyperlink" Target="https://www.reedsmith.com/media/q55pum5o/2024_review_of_ia_institutional_data_-_final.pdf" TargetMode="External"/><Relationship Id="rId35" Type="http://schemas.openxmlformats.org/officeDocument/2006/relationships/hyperlink" Target="https://www.business-standard.com/india-news/over-11-3-million-cases-settled-in-first-national-lok-adalat-of-2024-124030900723_1.html" TargetMode="External"/><Relationship Id="rId36" Type="http://schemas.openxmlformats.org/officeDocument/2006/relationships/hyperlink" Target="https://law.asia/tm-rights-in-shakti-bhog/" TargetMode="External"/><Relationship Id="rId37" Type="http://schemas.openxmlformats.org/officeDocument/2006/relationships/hyperlink" Target="https://www.ijser.in/archives/v13i8/SE25824231448.pdf" TargetMode="External"/><Relationship Id="rId38" Type="http://schemas.openxmlformats.org/officeDocument/2006/relationships/hyperlink" Target="https://www.newsonair.gov.in/over-12-48-lakh-cases-settled-in-one-day-at-telangana-lok-adalat/" TargetMode="External"/><Relationship Id="rId39" Type="http://schemas.openxmlformats.org/officeDocument/2006/relationships/hyperlink" Target="https://gblrscclp.in/2024/02/16/sebis-smart-odr-a-technological-leap-in-dispute-resolution/" TargetMode="External"/><Relationship Id="rId40" Type="http://schemas.openxmlformats.org/officeDocument/2006/relationships/hyperlink" Target="https://economictimes.com/news/india/over-one-crore-cases-settled-in-national-lok-adalat-in-a-day-says-nalsa/articleshow/93560369.cms" TargetMode="Externa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LibreOffice/25.8.6.2$Linux_X86_64 LibreOffice_project/a46b460d1686bb49c718d2ef5f88b83ff2dc4981</Application>
  <AppVersion>15.0000</AppVersion>
  <Pages>9</Pages>
  <Words>1774</Words>
  <Characters>13048</Characters>
  <CharactersWithSpaces>14740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2026-03-17T06:12:00Z</dcterms:created>
  <dc:creator>html-to-docx</dc:creator>
  <dc:description/>
  <cp:keywords>html-to-docx</cp:keywords>
  <dc:language>en-US</dc:language>
  <cp:lastModifiedBy>DIVYESH SHARMA</cp:lastModifiedBy>
  <dcterms:modified xsi:type="dcterms:W3CDTF">2026-03-17T06:12:00Z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