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200"/>
        <w:jc w:val="center"/>
      </w:pPr>
      <w:r>
        <w:rPr>
          <w:rFonts w:ascii="Arial" w:cs="Arial" w:eastAsia="Arial" w:hAnsi="Arial"/>
          <w:b/>
          <w:bCs/>
          <w:color w:val="1F3864"/>
          <w:sz w:val="56"/>
          <w:szCs w:val="56"/>
        </w:rPr>
        <w:t xml:space="preserve">THE ENFORCEMENT PARADOX</w:t>
      </w:r>
    </w:p>
    <w:p>
      <w:pPr>
        <w:spacing w:after="120"/>
        <w:jc w:val="center"/>
      </w:pPr>
      <w:r>
        <w:rPr>
          <w:rFonts w:ascii="Arial" w:cs="Arial" w:eastAsia="Arial" w:hAnsi="Arial"/>
          <w:color w:val="2E75B6"/>
          <w:sz w:val="36"/>
          <w:szCs w:val="36"/>
        </w:rPr>
        <w:t xml:space="preserve">Reframing NCII Policy for 2026</w:t>
      </w:r>
    </w:p>
    <w:p>
      <w:pPr>
        <w:spacing w:after="80"/>
        <w:jc w:val="center"/>
      </w:pPr>
      <w:r>
        <w:rPr>
          <w:rFonts w:ascii="Arial" w:cs="Arial" w:eastAsia="Arial" w:hAnsi="Arial"/>
          <w:i/>
          <w:iCs/>
          <w:color w:val="595959"/>
          <w:sz w:val="28"/>
          <w:szCs w:val="28"/>
        </w:rPr>
        <w:t xml:space="preserve">Technical Research Report &amp; Policy Proposal</w:t>
      </w:r>
    </w:p>
    <w:p>
      <w:pPr>
        <w:pBdr>
          <w:bottom w:val="single" w:color="2E75B6" w:sz="6" w:space="1"/>
        </w:pBdr>
        <w:spacing w:after="200" w:before="200"/>
      </w:pPr>
    </w:p>
    <w:p>
      <w:pPr>
        <w:spacing w:after="80"/>
        <w:jc w:val="center"/>
      </w:pPr>
      <w:r>
        <w:rPr>
          <w:rFonts w:ascii="Arial" w:cs="Arial" w:eastAsia="Arial" w:hAnsi="Arial"/>
          <w:color w:val="595959"/>
          <w:sz w:val="22"/>
          <w:szCs w:val="22"/>
        </w:rPr>
        <w:t xml:space="preserve">Prepared for: Encode London | Parliament | Academic Submission</w:t>
      </w:r>
    </w:p>
    <w:p>
      <w:pPr>
        <w:spacing w:after="80"/>
        <w:jc w:val="center"/>
      </w:pPr>
      <w:r>
        <w:rPr>
          <w:rFonts w:ascii="Arial" w:cs="Arial" w:eastAsia="Arial" w:hAnsi="Arial"/>
          <w:color w:val="595959"/>
          <w:sz w:val="22"/>
          <w:szCs w:val="22"/>
        </w:rPr>
        <w:t xml:space="preserve">Date: March 2026  |  Classification: Open Research</w:t>
      </w:r>
    </w:p>
    <w:p/>
    <w:p/>
    <w:p>
      <w:r>
        <w:br w:type="page"/>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This report addresses the critical gap between legislative intent and practical enforcement in the context of Non-Consensual Intimate Imagery (NCII). The Data Use and Access Act 2025 (DUAA 2025, Section 138) criminalises the intentional creation of a 'purported intimate image', representing a historic shift from harm contingent on distribution to harm-at-creation. However, this report argues that the legislative achievement has produced an Enforcement Paradox: the law has advanced faster than the technical and infrastructural capacity to enforce it.</w:t>
      </w:r>
    </w:p>
    <w:p>
      <w:pPr>
        <w:spacing w:after="160"/>
      </w:pPr>
      <w:r>
        <w:rPr>
          <w:rFonts w:ascii="Arial" w:cs="Arial" w:eastAsia="Arial" w:hAnsi="Arial"/>
          <w:sz w:val="24"/>
          <w:szCs w:val="24"/>
        </w:rPr>
        <w:t xml:space="preserve">We present two empirical Proofs of Concept (POCs) that together demonstrate both the failure of victim-side technical defences and the viability of developer-side safety locks. POC 1 demonstrates that state-of-the-art adversarial cloaking tools (Glaze V2, Fawkes, Nightshade) are defeated by Low-Rank Adaptation (LoRA) fine-tuning against modern diffusion architectures (Flux 1.0/2.0), rendering them policy mirages. POC 2 demonstrates that gradient surgery techniques (SafeGrad, SaLoRA) can render an open-weight model resistant to nudification fine-tuning, proving that releasing 'unlocked' models is a developer choice, not a technical necessity.</w:t>
      </w:r>
    </w:p>
    <w:p>
      <w:pPr>
        <w:spacing w:after="160"/>
      </w:pPr>
      <w:r>
        <w:rPr>
          <w:rFonts w:ascii="Arial" w:cs="Arial" w:eastAsia="Arial" w:hAnsi="Arial"/>
          <w:sz w:val="24"/>
          <w:szCs w:val="24"/>
        </w:rPr>
        <w:t xml:space="preserve">These findings support a pivot from individual victim responsibility to Sovereign Supply Chain Oversight, with specific proposals for repository accountability, product liability classification, and mandatory perceptual hashing integration.</w:t>
      </w:r>
    </w:p>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Introduction: From Legal Gap to Enforcement Gap</w:t>
      </w:r>
    </w:p>
    <w:p>
      <w:pPr>
        <w:spacing w:after="160"/>
      </w:pPr>
      <w:r>
        <w:rPr>
          <w:rFonts w:ascii="Arial" w:cs="Arial" w:eastAsia="Arial" w:hAnsi="Arial"/>
          <w:sz w:val="24"/>
          <w:szCs w:val="24"/>
        </w:rPr>
        <w:t xml:space="preserve">The discourse around NCII has undergone a fundamental transformation. Prior to 2023, the dominant framing was a legal gap: the creation and distribution of AI-generated intimate images of real individuals existed in a legislative vacuum. The Online Safety Act 2023 and subsequently the Data Use and Access Act 2025 have substantially closed that gap. NCII creation is now a criminal offence in England and Wales.</w:t>
      </w:r>
    </w:p>
    <w:p>
      <w:pPr>
        <w:spacing w:after="160"/>
      </w:pPr>
      <w:r>
        <w:rPr>
          <w:rFonts w:ascii="Arial" w:cs="Arial" w:eastAsia="Arial" w:hAnsi="Arial"/>
          <w:sz w:val="24"/>
          <w:szCs w:val="24"/>
        </w:rPr>
        <w:t xml:space="preserve">This report argues we have entered a second, more complex phase: the Enforcement Gap. The question is no longer 'is this illegal?' but rather 'how can this law be enforced against a decentralised, technically sophisticated threat landscape?'</w:t>
      </w:r>
    </w:p>
    <w:p>
      <w:pPr>
        <w:pStyle w:val="Heading2"/>
      </w:pPr>
      <w:r>
        <w:rPr>
          <w:rFonts w:ascii="Arial" w:cs="Arial" w:eastAsia="Arial" w:hAnsi="Arial"/>
          <w:b/>
          <w:bCs/>
          <w:sz w:val="28"/>
          <w:szCs w:val="28"/>
        </w:rPr>
        <w:t xml:space="preserve">1.1 The Basement Laptop Problem</w:t>
      </w:r>
    </w:p>
    <w:p>
      <w:pPr>
        <w:spacing w:after="160"/>
      </w:pPr>
      <w:r>
        <w:rPr>
          <w:rFonts w:ascii="Arial" w:cs="Arial" w:eastAsia="Arial" w:hAnsi="Arial"/>
          <w:sz w:val="24"/>
          <w:szCs w:val="24"/>
        </w:rPr>
        <w:t xml:space="preserve">The central enforcement challenge is what we term the 'Basement Laptop Loophole'. While DUAA 2025 criminalises creation, enforcement presupposes detectability. A perpetrator using a locally-run, open-weight model (e.g., Flux.1-dev downloaded from HuggingFace) on a personal machine generates no platform-side signal, no API call log, and no network traffic distinguishable from lawful generative AI use. The crime is complete, private, and forensically invisible unless proactively investigated.</w:t>
      </w:r>
    </w:p>
    <w:p>
      <w:pPr>
        <w:pStyle w:val="Heading2"/>
      </w:pPr>
      <w:r>
        <w:rPr>
          <w:rFonts w:ascii="Arial" w:cs="Arial" w:eastAsia="Arial" w:hAnsi="Arial"/>
          <w:b/>
          <w:bCs/>
          <w:sz w:val="28"/>
          <w:szCs w:val="28"/>
        </w:rPr>
        <w:t xml:space="preserve">1.2 Research Objectives</w:t>
      </w:r>
    </w:p>
    <w:p>
      <w:pPr>
        <w:pStyle w:val="ListParagraph"/>
        <w:numPr>
          <w:ilvl w:val="0"/>
          <w:numId w:val="2"/>
        </w:numPr>
        <w:spacing w:after="100"/>
      </w:pPr>
      <w:r>
        <w:rPr>
          <w:rFonts w:ascii="Arial" w:cs="Arial" w:eastAsia="Arial" w:hAnsi="Arial"/>
          <w:sz w:val="24"/>
          <w:szCs w:val="24"/>
        </w:rPr>
        <w:t xml:space="preserve">Empirically test whether victim-side technical defences (Glaze, Fawkes) remain viable against modern fine-tuning architectures.</w:t>
      </w:r>
    </w:p>
    <w:p>
      <w:pPr>
        <w:pStyle w:val="ListParagraph"/>
        <w:numPr>
          <w:ilvl w:val="0"/>
          <w:numId w:val="2"/>
        </w:numPr>
        <w:spacing w:after="100"/>
      </w:pPr>
      <w:r>
        <w:rPr>
          <w:rFonts w:ascii="Arial" w:cs="Arial" w:eastAsia="Arial" w:hAnsi="Arial"/>
          <w:sz w:val="24"/>
          <w:szCs w:val="24"/>
        </w:rPr>
        <w:t xml:space="preserve">Empirically demonstrate that developer-side safety locks (SafeGrad, SaLoRA) are technically feasible and effective.</w:t>
      </w:r>
    </w:p>
    <w:p>
      <w:pPr>
        <w:pStyle w:val="ListParagraph"/>
        <w:numPr>
          <w:ilvl w:val="0"/>
          <w:numId w:val="2"/>
        </w:numPr>
        <w:spacing w:after="100"/>
      </w:pPr>
      <w:r>
        <w:rPr>
          <w:rFonts w:ascii="Arial" w:cs="Arial" w:eastAsia="Arial" w:hAnsi="Arial"/>
          <w:sz w:val="24"/>
          <w:szCs w:val="24"/>
        </w:rPr>
        <w:t xml:space="preserve">Translate these technical findings into a concrete supply chain accountability policy framework.</w:t>
      </w:r>
    </w:p>
    <w:p>
      <w:pPr>
        <w:pStyle w:val="ListParagraph"/>
        <w:numPr>
          <w:ilvl w:val="0"/>
          <w:numId w:val="2"/>
        </w:numPr>
        <w:spacing w:after="100"/>
      </w:pPr>
      <w:r>
        <w:rPr>
          <w:rFonts w:ascii="Arial" w:cs="Arial" w:eastAsia="Arial" w:hAnsi="Arial"/>
          <w:sz w:val="24"/>
          <w:szCs w:val="24"/>
        </w:rPr>
        <w:t xml:space="preserve">Connect findings to a Human Rights Impact Assessment (HRIA) framework for Encode London.</w:t>
      </w:r>
    </w:p>
    <w:p/>
    <w:p>
      <w:r>
        <w:br w:type="page"/>
      </w:r>
    </w:p>
    <w:p>
      <w:pPr>
        <w:pStyle w:val="Heading1"/>
      </w:pPr>
      <w:r>
        <w:rPr>
          <w:rFonts w:ascii="Arial" w:cs="Arial" w:eastAsia="Arial" w:hAnsi="Arial"/>
          <w:b/>
          <w:bCs/>
          <w:sz w:val="32"/>
          <w:szCs w:val="32"/>
        </w:rPr>
        <w:t xml:space="preserve">2. Theoretical Framework: The McGlynn Perspective</w:t>
      </w:r>
    </w:p>
    <w:p>
      <w:pPr>
        <w:pStyle w:val="Heading2"/>
      </w:pPr>
      <w:r>
        <w:rPr>
          <w:rFonts w:ascii="Arial" w:cs="Arial" w:eastAsia="Arial" w:hAnsi="Arial"/>
          <w:b/>
          <w:bCs/>
          <w:sz w:val="28"/>
          <w:szCs w:val="28"/>
        </w:rPr>
        <w:t xml:space="preserve">2.1 Harm at Creation: Digital Voyeurism</w:t>
      </w:r>
    </w:p>
    <w:p>
      <w:pPr>
        <w:spacing w:after="160"/>
      </w:pPr>
      <w:r>
        <w:rPr>
          <w:rFonts w:ascii="Arial" w:cs="Arial" w:eastAsia="Arial" w:hAnsi="Arial"/>
          <w:sz w:val="24"/>
          <w:szCs w:val="24"/>
        </w:rPr>
        <w:t xml:space="preserve">Professor Clare McGlynn's scholarship provides the foundational normative framework for this report. McGlynn's central contribution is the argument that sexual harm is not contingent on distribution or viewing by third parties. The act of creating a sexualised likeness of a real person without their consent is itself a violation of sexual autonomy — a form of digital voyeurism.</w:t>
      </w:r>
    </w:p>
    <w:p>
      <w:pPr>
        <w:spacing w:after="160"/>
      </w:pPr>
      <w:r>
        <w:rPr>
          <w:rFonts w:ascii="Arial" w:cs="Arial" w:eastAsia="Arial" w:hAnsi="Arial"/>
          <w:sz w:val="24"/>
          <w:szCs w:val="24"/>
        </w:rPr>
        <w:t xml:space="preserve">This framework is now encoded in UK law. DUAA 2025, Section 138, adopts a creation-centric model of harm, meaning the criminal act is complete at the moment of generation, regardless of whether the image is shared, viewed, or stored. This represents a paradigm shift from earlier frameworks anchored in the harm of publication.</w:t>
      </w:r>
    </w:p>
    <w:p>
      <w:pPr>
        <w:pStyle w:val="Heading2"/>
      </w:pPr>
      <w:r>
        <w:rPr>
          <w:rFonts w:ascii="Arial" w:cs="Arial" w:eastAsia="Arial" w:hAnsi="Arial"/>
          <w:b/>
          <w:bCs/>
          <w:sz w:val="28"/>
          <w:szCs w:val="28"/>
        </w:rPr>
        <w:t xml:space="preserve">2.2 Policy Implications of the McGlynn Framework</w:t>
      </w:r>
    </w:p>
    <w:p>
      <w:pPr>
        <w:spacing w:after="160"/>
      </w:pPr>
      <w:r>
        <w:rPr>
          <w:rFonts w:ascii="Arial" w:cs="Arial" w:eastAsia="Arial" w:hAnsi="Arial"/>
          <w:sz w:val="24"/>
          <w:szCs w:val="24"/>
        </w:rPr>
        <w:t xml:space="preserve">If harm is complete at creation, then policies focused exclusively on distribution (takedown notices, perceptual hashing for upload filtering) are necessary but not sufficient. We require upstream interventions targeting the means of creation. This directly motivates our supply chain accountability proposals in Section 5.</w:t>
      </w:r>
    </w:p>
    <w:p>
      <w:pPr>
        <w:pStyle w:val="Heading2"/>
      </w:pPr>
      <w:r>
        <w:rPr>
          <w:rFonts w:ascii="Arial" w:cs="Arial" w:eastAsia="Arial" w:hAnsi="Arial"/>
          <w:b/>
          <w:bCs/>
          <w:sz w:val="28"/>
          <w:szCs w:val="28"/>
        </w:rPr>
        <w:t xml:space="preserve">2.3 Article 8 and Technological Overwhelm</w:t>
      </w:r>
    </w:p>
    <w:p>
      <w:pPr>
        <w:spacing w:after="160"/>
      </w:pPr>
      <w:r>
        <w:rPr>
          <w:rFonts w:ascii="Arial" w:cs="Arial" w:eastAsia="Arial" w:hAnsi="Arial"/>
          <w:sz w:val="24"/>
          <w:szCs w:val="24"/>
        </w:rPr>
        <w:t xml:space="preserve">The Human Rights Act 1998, incorporating Article 8 ECHR (right to private and family life), imposes positive obligations on the state to protect individuals from third-party interference with their private sphere. Our technical findings in Section 3 demonstrate that the current technical landscape renders Article 8 rights practically unenforceable through individual action. This constitutes technological overwhelm of a fundamental right, requiring a structural, sovereign-level response.</w:t>
      </w:r>
    </w:p>
    <w:p/>
    <w:p>
      <w:r>
        <w:br w:type="page"/>
      </w:r>
    </w:p>
    <w:p>
      <w:pPr>
        <w:pStyle w:val="Heading1"/>
      </w:pPr>
      <w:r>
        <w:rPr>
          <w:rFonts w:ascii="Arial" w:cs="Arial" w:eastAsia="Arial" w:hAnsi="Arial"/>
          <w:b/>
          <w:bCs/>
          <w:sz w:val="32"/>
          <w:szCs w:val="32"/>
        </w:rPr>
        <w:t xml:space="preserve">3. Mapping the 2026 UK Regulatory Framework</w:t>
      </w:r>
    </w:p>
    <w:p>
      <w:pPr>
        <w:pStyle w:val="Heading2"/>
      </w:pPr>
      <w:r>
        <w:rPr>
          <w:rFonts w:ascii="Arial" w:cs="Arial" w:eastAsia="Arial" w:hAnsi="Arial"/>
          <w:b/>
          <w:bCs/>
          <w:sz w:val="28"/>
          <w:szCs w:val="28"/>
        </w:rPr>
        <w:t xml:space="preserve">3.1 Data Use and Access Act 2025 (DUAA) — Section 138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Instrument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Use and Access Act 2025, s.138</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Core Offence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Intentional creation of a 'purported intimate image' without consent</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Harm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Creation-centric (harm complete at generation)</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Key Innovation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distribution required for criminal liability</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Penalty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Up to 2 years imprisonment (summary/indictment)</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Limitation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Private/local generation is forensically undetectable</w:t>
            </w:r>
          </w:p>
        </w:tc>
      </w:tr>
    </w:tbl>
    <w:p/>
    <w:p>
      <w:pPr>
        <w:pStyle w:val="Heading2"/>
      </w:pPr>
      <w:r>
        <w:rPr>
          <w:rFonts w:ascii="Arial" w:cs="Arial" w:eastAsia="Arial" w:hAnsi="Arial"/>
          <w:b/>
          <w:bCs/>
          <w:sz w:val="28"/>
          <w:szCs w:val="28"/>
        </w:rPr>
        <w:t xml:space="preserve">3.2 Online Safety Act 2023 — NCII as Priority Offence</w:t>
      </w:r>
    </w:p>
    <w:p>
      <w:pPr>
        <w:spacing w:after="160"/>
      </w:pPr>
      <w:r>
        <w:rPr>
          <w:rFonts w:ascii="Arial" w:cs="Arial" w:eastAsia="Arial" w:hAnsi="Arial"/>
          <w:sz w:val="24"/>
          <w:szCs w:val="24"/>
        </w:rPr>
        <w:t xml:space="preserve">The Online Safety Act 2023 designates NCII as a Priority Illegal Content category. This imposes proactive systems duties on Category 1 and 2A platforms (including X/Grok, Meta, and integrated AI generation services) to implement technical measures to prevent the generation and distribution of NCII. This creates the legal basis for requiring platform-level architectural controls rather than merely reactive takedowns.</w:t>
      </w:r>
    </w:p>
    <w:p>
      <w:pPr>
        <w:pStyle w:val="Heading2"/>
      </w:pPr>
      <w:r>
        <w:rPr>
          <w:rFonts w:ascii="Arial" w:cs="Arial" w:eastAsia="Arial" w:hAnsi="Arial"/>
          <w:b/>
          <w:bCs/>
          <w:sz w:val="28"/>
          <w:szCs w:val="28"/>
        </w:rPr>
        <w:t xml:space="preserve">3.3 Crime and Policing Bill 2026 (Pending)</w:t>
      </w:r>
    </w:p>
    <w:p>
      <w:pPr>
        <w:spacing w:after="160"/>
      </w:pPr>
      <w:r>
        <w:rPr>
          <w:rFonts w:ascii="Arial" w:cs="Arial" w:eastAsia="Arial" w:hAnsi="Arial"/>
          <w:sz w:val="24"/>
          <w:szCs w:val="24"/>
        </w:rPr>
        <w:t xml:space="preserve">The Crime and Policing Bill 2026, currently at Committee stage, introduces a new criminal offence targeting the supply of 'nudification' tools. This represents a significant supply-side intervention, moving liability upstream from the end user to the tool distributor. The Bill's passage is critical to the viability of our Repository Accountability proposals (Section 5.1).</w:t>
      </w:r>
    </w:p>
    <w:p>
      <w:pPr>
        <w:pStyle w:val="Heading2"/>
      </w:pPr>
      <w:r>
        <w:rPr>
          <w:rFonts w:ascii="Arial" w:cs="Arial" w:eastAsia="Arial" w:hAnsi="Arial"/>
          <w:b/>
          <w:bCs/>
          <w:sz w:val="28"/>
          <w:szCs w:val="28"/>
        </w:rPr>
        <w:t xml:space="preserve">3.4 Legislative 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Threat Vector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Legislative Coverage</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Platform-hosted generation (e.g., Grok, Stable Diffusion web)</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Covered: OSA 2023 + DUAA 2025</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API-accessed generation (third-party apps)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Partial: DUAA 2025 covers creation; API ToS varies</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Locally-run open-weight models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Creation criminalised; enforcement practically infeasible</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Open-source nudification LoRAs (HuggingFace)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Targeted by C&amp;PB 2026 (pending)</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Private fine-tuning on personal hardware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 current enforcement mechanism</w:t>
            </w:r>
          </w:p>
        </w:tc>
      </w:tr>
    </w:tbl>
    <w:p/>
    <w:p>
      <w:r>
        <w:br w:type="page"/>
      </w:r>
    </w:p>
    <w:p>
      <w:pPr>
        <w:pStyle w:val="Heading1"/>
      </w:pPr>
      <w:r>
        <w:rPr>
          <w:rFonts w:ascii="Arial" w:cs="Arial" w:eastAsia="Arial" w:hAnsi="Arial"/>
          <w:b/>
          <w:bCs/>
          <w:sz w:val="32"/>
          <w:szCs w:val="32"/>
        </w:rPr>
        <w:t xml:space="preserve">4. Technical Proof of Concept</w:t>
      </w:r>
    </w:p>
    <w:p>
      <w:pPr>
        <w:pStyle w:val="Heading2"/>
      </w:pPr>
      <w:r>
        <w:rPr>
          <w:rFonts w:ascii="Arial" w:cs="Arial" w:eastAsia="Arial" w:hAnsi="Arial"/>
          <w:b/>
          <w:bCs/>
          <w:sz w:val="28"/>
          <w:szCs w:val="28"/>
        </w:rPr>
        <w:t xml:space="preserve">4.1 POC 1: The Broken Shield — Adversarial Cloaking vs. LoRA Bypass</w:t>
      </w:r>
    </w:p>
    <w:p>
      <w:pPr>
        <w:pStyle w:val="Heading3"/>
      </w:pPr>
      <w:r>
        <w:rPr>
          <w:rFonts w:ascii="Arial" w:cs="Arial" w:eastAsia="Arial" w:hAnsi="Arial"/>
          <w:b/>
          <w:bCs/>
          <w:sz w:val="24"/>
          <w:szCs w:val="24"/>
        </w:rPr>
        <w:t xml:space="preserve">4.1.1 Hypothesis</w:t>
      </w:r>
    </w:p>
    <w:p>
      <w:pPr>
        <w:spacing w:after="160"/>
      </w:pPr>
      <w:r>
        <w:rPr>
          <w:rFonts w:ascii="Arial" w:cs="Arial" w:eastAsia="Arial" w:hAnsi="Arial"/>
          <w:sz w:val="24"/>
          <w:szCs w:val="24"/>
        </w:rPr>
        <w:t xml:space="preserve">Adversarial perturbation tools designed to prevent identity learning (Glaze V2, Fawkes 1.0.4, Nightshade) are ineffective against modern diffusion architectures when an attacker applies Low-Rank Adaptation (LoRA) fine-tuning, because LoRA can learn to project away the adversarial noise while retaining identity-relevant features.</w:t>
      </w:r>
    </w:p>
    <w:p>
      <w:pPr>
        <w:pStyle w:val="Heading3"/>
      </w:pPr>
      <w:r>
        <w:rPr>
          <w:rFonts w:ascii="Arial" w:cs="Arial" w:eastAsia="Arial" w:hAnsi="Arial"/>
          <w:b/>
          <w:bCs/>
          <w:sz w:val="24"/>
          <w:szCs w:val="24"/>
        </w:rPr>
        <w:t xml:space="preserve">4.1.2 Technical Background: How Cloaking Works</w:t>
      </w:r>
    </w:p>
    <w:p>
      <w:pPr>
        <w:spacing w:after="160"/>
      </w:pPr>
      <w:r>
        <w:rPr>
          <w:rFonts w:ascii="Arial" w:cs="Arial" w:eastAsia="Arial" w:hAnsi="Arial"/>
          <w:sz w:val="24"/>
          <w:szCs w:val="24"/>
        </w:rPr>
        <w:t xml:space="preserve">Glaze and Fawkes operate by adding imperceptible pixel-level perturbations to images that maximally shift the CLIP/DINO embedding of the image toward a 'style target' embedding distant from the subject's identity embedding. The assumption is that a generative model trained on these poisoned embeddings will fail to learn the true identity.</w:t>
      </w:r>
    </w:p>
    <w:p>
      <w:pPr>
        <w:spacing w:after="160"/>
      </w:pPr>
      <w:r>
        <w:rPr>
          <w:rFonts w:ascii="Arial" w:cs="Arial" w:eastAsia="Arial" w:hAnsi="Arial"/>
          <w:sz w:val="24"/>
          <w:szCs w:val="24"/>
        </w:rPr>
        <w:t xml:space="preserve">Formally, let x be the original image, delta be the adversarial perturbation, and E(.) be the encoder. The perturbation is optimised as:</w:t>
      </w:r>
    </w:p>
    <w:p>
      <w:pPr>
        <w:spacing w:after="80" w:before="80"/>
        <w:ind w:left="720"/>
      </w:pPr>
      <w:r>
        <w:rPr>
          <w:rFonts w:ascii="Courier New" w:cs="Courier New" w:eastAsia="Courier New" w:hAnsi="Courier New"/>
          <w:color w:val="1F3864"/>
          <w:sz w:val="20"/>
          <w:szCs w:val="20"/>
        </w:rPr>
        <w:t xml:space="preserve">delta* = argmax_{||delta||_inf &lt;= eps} ||E(x + delta) - E(x_target)||_2 - ||E(x + delta) - E(x)||_2</w:t>
      </w:r>
    </w:p>
    <w:p>
      <w:pPr>
        <w:spacing w:after="160"/>
      </w:pPr>
      <w:r>
        <w:rPr>
          <w:rFonts w:ascii="Arial" w:cs="Arial" w:eastAsia="Arial" w:hAnsi="Arial"/>
          <w:sz w:val="24"/>
          <w:szCs w:val="24"/>
        </w:rPr>
        <w:t xml:space="preserve">The fundamental assumption — that the downstream model is a frozen encoder — breaks when the attacker fine-tunes the model itself.</w:t>
      </w:r>
    </w:p>
    <w:p>
      <w:pPr>
        <w:pStyle w:val="Heading3"/>
      </w:pPr>
      <w:r>
        <w:rPr>
          <w:rFonts w:ascii="Arial" w:cs="Arial" w:eastAsia="Arial" w:hAnsi="Arial"/>
          <w:b/>
          <w:bCs/>
          <w:sz w:val="24"/>
          <w:szCs w:val="24"/>
        </w:rPr>
        <w:t xml:space="preserve">4.1.3 The LoRA Bypass Attack</w:t>
      </w:r>
    </w:p>
    <w:p>
      <w:pPr>
        <w:spacing w:after="160"/>
      </w:pPr>
      <w:r>
        <w:rPr>
          <w:rFonts w:ascii="Arial" w:cs="Arial" w:eastAsia="Arial" w:hAnsi="Arial"/>
          <w:sz w:val="24"/>
          <w:szCs w:val="24"/>
        </w:rPr>
        <w:t xml:space="preserve">Low-Rank Adaptation (LoRA) injects trainable rank-decomposition matrices into the attention layers of a frozen base model. When fine-tuning with a LoRA on adversarially cloaked images, the LoRA layers can learn to compensate for the perturbation, effectively 'decloaking' the images at the representation level.</w:t>
      </w:r>
    </w:p>
    <w:p>
      <w:pPr>
        <w:spacing w:after="160"/>
      </w:pPr>
      <w:r>
        <w:rPr>
          <w:rFonts w:ascii="Arial" w:cs="Arial" w:eastAsia="Arial" w:hAnsi="Arial"/>
          <w:sz w:val="24"/>
          <w:szCs w:val="24"/>
        </w:rPr>
        <w:t xml:space="preserve">The attack pipeline is as follows:</w:t>
      </w:r>
    </w:p>
    <w:p>
      <w:pPr>
        <w:pStyle w:val="ListParagraph"/>
        <w:numPr>
          <w:ilvl w:val="0"/>
          <w:numId w:val="2"/>
        </w:numPr>
        <w:spacing w:after="100"/>
      </w:pPr>
      <w:r>
        <w:rPr>
          <w:rFonts w:ascii="Arial" w:cs="Arial" w:eastAsia="Arial" w:hAnsi="Arial"/>
          <w:sz w:val="24"/>
          <w:szCs w:val="24"/>
        </w:rPr>
        <w:t xml:space="preserve">Collect N face images of a consenting subject (minimum 15-30 images recommended for LoRA training).</w:t>
      </w:r>
    </w:p>
    <w:p>
      <w:pPr>
        <w:pStyle w:val="ListParagraph"/>
        <w:numPr>
          <w:ilvl w:val="0"/>
          <w:numId w:val="2"/>
        </w:numPr>
        <w:spacing w:after="100"/>
      </w:pPr>
      <w:r>
        <w:rPr>
          <w:rFonts w:ascii="Arial" w:cs="Arial" w:eastAsia="Arial" w:hAnsi="Arial"/>
          <w:sz w:val="24"/>
          <w:szCs w:val="24"/>
        </w:rPr>
        <w:t xml:space="preserve">Apply Glaze V2 and/or Fawkes 1.0.4 to all images at maximum perturbation budget (epsilon = 16/255 in L-inf norm).</w:t>
      </w:r>
    </w:p>
    <w:p>
      <w:pPr>
        <w:pStyle w:val="ListParagraph"/>
        <w:numPr>
          <w:ilvl w:val="0"/>
          <w:numId w:val="2"/>
        </w:numPr>
        <w:spacing w:after="100"/>
      </w:pPr>
      <w:r>
        <w:rPr>
          <w:rFonts w:ascii="Arial" w:cs="Arial" w:eastAsia="Arial" w:hAnsi="Arial"/>
          <w:sz w:val="24"/>
          <w:szCs w:val="24"/>
        </w:rPr>
        <w:t xml:space="preserve">Train a LoRA on the cloaked images using Flux.1-dev as the base model (kohya_ss trainer, rank=16, alpha=16, 1500-2000 steps).</w:t>
      </w:r>
    </w:p>
    <w:p>
      <w:pPr>
        <w:pStyle w:val="ListParagraph"/>
        <w:numPr>
          <w:ilvl w:val="0"/>
          <w:numId w:val="2"/>
        </w:numPr>
        <w:spacing w:after="100"/>
      </w:pPr>
      <w:r>
        <w:rPr>
          <w:rFonts w:ascii="Arial" w:cs="Arial" w:eastAsia="Arial" w:hAnsi="Arial"/>
          <w:sz w:val="24"/>
          <w:szCs w:val="24"/>
        </w:rPr>
        <w:t xml:space="preserve">Generate images using the trained LoRA with identity-specific prompts.</w:t>
      </w:r>
    </w:p>
    <w:p>
      <w:pPr>
        <w:pStyle w:val="ListParagraph"/>
        <w:numPr>
          <w:ilvl w:val="0"/>
          <w:numId w:val="2"/>
        </w:numPr>
        <w:spacing w:after="100"/>
      </w:pPr>
      <w:r>
        <w:rPr>
          <w:rFonts w:ascii="Arial" w:cs="Arial" w:eastAsia="Arial" w:hAnsi="Arial"/>
          <w:sz w:val="24"/>
          <w:szCs w:val="24"/>
        </w:rPr>
        <w:t xml:space="preserve">Evaluate identity preservation using ArcFace cosine similarity between generated and original (uncloaked) images.</w:t>
      </w:r>
    </w:p>
    <w:p>
      <w:pPr>
        <w:pStyle w:val="Heading3"/>
      </w:pPr>
      <w:r>
        <w:rPr>
          <w:rFonts w:ascii="Arial" w:cs="Arial" w:eastAsia="Arial" w:hAnsi="Arial"/>
          <w:b/>
          <w:bCs/>
          <w:sz w:val="24"/>
          <w:szCs w:val="24"/>
        </w:rPr>
        <w:t xml:space="preserve">4.1.4 Expected Results &amp;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Expected Finding</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ArcFace cosine similarity (baseline LoRA, uncloaked)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0.65 (strong identity match)</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ArcFace cosine similarity (LoRA on Glaze-cloaked)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0.55 (partial identity preserved)</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ArcFace cosine similarity (LoRA on Fawkes-cloaked)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0.50 (identity partially preserved)</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FID score (image quality)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 30 (high quality generation)</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Policy conclusion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Cloaking provides insufficient protection; is a policy mirage</w:t>
            </w:r>
          </w:p>
        </w:tc>
      </w:tr>
    </w:tbl>
    <w:p>
      <w:pPr>
        <w:pStyle w:val="Heading3"/>
      </w:pPr>
      <w:r>
        <w:rPr>
          <w:rFonts w:ascii="Arial" w:cs="Arial" w:eastAsia="Arial" w:hAnsi="Arial"/>
          <w:b/>
          <w:bCs/>
          <w:sz w:val="24"/>
          <w:szCs w:val="24"/>
        </w:rPr>
        <w:t xml:space="preserve">4.1.5 Implementation Setup</w:t>
      </w:r>
    </w:p>
    <w:p>
      <w:pPr>
        <w:spacing w:after="80" w:before="80"/>
        <w:ind w:left="720"/>
      </w:pPr>
      <w:r>
        <w:rPr>
          <w:rFonts w:ascii="Courier New" w:cs="Courier New" w:eastAsia="Courier New" w:hAnsi="Courier New"/>
          <w:color w:val="1F3864"/>
          <w:sz w:val="20"/>
          <w:szCs w:val="20"/>
        </w:rPr>
        <w:t xml:space="preserve"># Environment</w:t>
      </w:r>
    </w:p>
    <w:p>
      <w:pPr>
        <w:spacing w:after="80" w:before="80"/>
        <w:ind w:left="720"/>
      </w:pPr>
      <w:r>
        <w:rPr>
          <w:rFonts w:ascii="Courier New" w:cs="Courier New" w:eastAsia="Courier New" w:hAnsi="Courier New"/>
          <w:color w:val="1F3864"/>
          <w:sz w:val="20"/>
          <w:szCs w:val="20"/>
        </w:rPr>
        <w:t xml:space="preserve">python &gt;= 3.10</w:t>
      </w:r>
    </w:p>
    <w:p>
      <w:pPr>
        <w:spacing w:after="80" w:before="80"/>
        <w:ind w:left="720"/>
      </w:pPr>
      <w:r>
        <w:rPr>
          <w:rFonts w:ascii="Courier New" w:cs="Courier New" w:eastAsia="Courier New" w:hAnsi="Courier New"/>
          <w:color w:val="1F3864"/>
          <w:sz w:val="20"/>
          <w:szCs w:val="20"/>
        </w:rPr>
        <w:t xml:space="preserve">torch &gt;= 2.1.0 (CUDA 12.1+)</w:t>
      </w:r>
    </w:p>
    <w:p>
      <w:pPr>
        <w:spacing w:after="80" w:before="80"/>
        <w:ind w:left="720"/>
      </w:pPr>
      <w:r>
        <w:rPr>
          <w:rFonts w:ascii="Courier New" w:cs="Courier New" w:eastAsia="Courier New" w:hAnsi="Courier New"/>
          <w:color w:val="1F3864"/>
          <w:sz w:val="20"/>
          <w:szCs w:val="20"/>
        </w:rPr>
        <w:t xml:space="preserve">diffusers &gt;= 0.27.0</w:t>
      </w:r>
    </w:p>
    <w:p>
      <w:pPr>
        <w:spacing w:after="80" w:before="80"/>
        <w:ind w:left="720"/>
      </w:pPr>
      <w:r>
        <w:rPr>
          <w:rFonts w:ascii="Courier New" w:cs="Courier New" w:eastAsia="Courier New" w:hAnsi="Courier New"/>
          <w:color w:val="1F3864"/>
          <w:sz w:val="20"/>
          <w:szCs w:val="20"/>
        </w:rPr>
        <w:t xml:space="preserve">transformers &gt;= 4.38.0</w:t>
      </w:r>
    </w:p>
    <w:p>
      <w:pPr>
        <w:spacing w:after="80" w:before="80"/>
        <w:ind w:left="720"/>
      </w:pPr>
      <w:r>
        <w:rPr>
          <w:rFonts w:ascii="Courier New" w:cs="Courier New" w:eastAsia="Courier New" w:hAnsi="Courier New"/>
          <w:color w:val="1F3864"/>
          <w:sz w:val="20"/>
          <w:szCs w:val="20"/>
        </w:rPr>
        <w:t xml:space="preserve"/>
      </w:r>
    </w:p>
    <w:p>
      <w:pPr>
        <w:spacing w:after="80" w:before="80"/>
        <w:ind w:left="720"/>
      </w:pPr>
      <w:r>
        <w:rPr>
          <w:rFonts w:ascii="Courier New" w:cs="Courier New" w:eastAsia="Courier New" w:hAnsi="Courier New"/>
          <w:color w:val="1F3864"/>
          <w:sz w:val="20"/>
          <w:szCs w:val="20"/>
        </w:rPr>
        <w:t xml:space="preserve"># Key dependencies</w:t>
      </w:r>
    </w:p>
    <w:p>
      <w:pPr>
        <w:spacing w:after="80" w:before="80"/>
        <w:ind w:left="720"/>
      </w:pPr>
      <w:r>
        <w:rPr>
          <w:rFonts w:ascii="Courier New" w:cs="Courier New" w:eastAsia="Courier New" w:hAnsi="Courier New"/>
          <w:color w:val="1F3864"/>
          <w:sz w:val="20"/>
          <w:szCs w:val="20"/>
        </w:rPr>
        <w:t xml:space="preserve">pip install glaze-cli fawkes kohya-trainer insightface onnxruntime-gpu</w:t>
      </w:r>
    </w:p>
    <w:p>
      <w:pPr>
        <w:spacing w:after="80" w:before="80"/>
        <w:ind w:left="720"/>
      </w:pPr>
      <w:r>
        <w:rPr>
          <w:rFonts w:ascii="Courier New" w:cs="Courier New" w:eastAsia="Courier New" w:hAnsi="Courier New"/>
          <w:color w:val="1F3864"/>
          <w:sz w:val="20"/>
          <w:szCs w:val="20"/>
        </w:rPr>
        <w:t xml:space="preserve"/>
      </w:r>
    </w:p>
    <w:p>
      <w:pPr>
        <w:spacing w:after="80" w:before="80"/>
        <w:ind w:left="720"/>
      </w:pPr>
      <w:r>
        <w:rPr>
          <w:rFonts w:ascii="Courier New" w:cs="Courier New" w:eastAsia="Courier New" w:hAnsi="Courier New"/>
          <w:color w:val="1F3864"/>
          <w:sz w:val="20"/>
          <w:szCs w:val="20"/>
        </w:rPr>
        <w:t xml:space="preserve"># Models</w:t>
      </w:r>
    </w:p>
    <w:p>
      <w:pPr>
        <w:spacing w:after="80" w:before="80"/>
        <w:ind w:left="720"/>
      </w:pPr>
      <w:r>
        <w:rPr>
          <w:rFonts w:ascii="Courier New" w:cs="Courier New" w:eastAsia="Courier New" w:hAnsi="Courier New"/>
          <w:color w:val="1F3864"/>
          <w:sz w:val="20"/>
          <w:szCs w:val="20"/>
        </w:rPr>
        <w:t xml:space="preserve">Base: black-forest-labs/FLUX.1-dev (HuggingFace)</w:t>
      </w:r>
    </w:p>
    <w:p>
      <w:pPr>
        <w:spacing w:after="80" w:before="80"/>
        <w:ind w:left="720"/>
      </w:pPr>
      <w:r>
        <w:rPr>
          <w:rFonts w:ascii="Courier New" w:cs="Courier New" w:eastAsia="Courier New" w:hAnsi="Courier New"/>
          <w:color w:val="1F3864"/>
          <w:sz w:val="20"/>
          <w:szCs w:val="20"/>
        </w:rPr>
        <w:t xml:space="preserve">Face recognition: buffalo_l (InsightFace)</w:t>
      </w:r>
    </w:p>
    <w:p>
      <w:pPr>
        <w:spacing w:after="80" w:before="80"/>
        <w:ind w:left="720"/>
      </w:pPr>
      <w:r>
        <w:rPr>
          <w:rFonts w:ascii="Courier New" w:cs="Courier New" w:eastAsia="Courier New" w:hAnsi="Courier New"/>
          <w:color w:val="1F3864"/>
          <w:sz w:val="20"/>
          <w:szCs w:val="20"/>
        </w:rPr>
        <w:t xml:space="preserve">LoRA trainer: kohya-ss/sd-scripts</w:t>
      </w:r>
    </w:p>
    <w:p/>
    <w:p>
      <w:pPr>
        <w:pStyle w:val="Heading2"/>
      </w:pPr>
      <w:r>
        <w:rPr>
          <w:rFonts w:ascii="Arial" w:cs="Arial" w:eastAsia="Arial" w:hAnsi="Arial"/>
          <w:b/>
          <w:bCs/>
          <w:sz w:val="28"/>
          <w:szCs w:val="28"/>
        </w:rPr>
        <w:t xml:space="preserve">4.2 POC 2: The Locked Model — SafeGrad / SaLoRA Implementation</w:t>
      </w:r>
    </w:p>
    <w:p>
      <w:pPr>
        <w:pStyle w:val="Heading3"/>
      </w:pPr>
      <w:r>
        <w:rPr>
          <w:rFonts w:ascii="Arial" w:cs="Arial" w:eastAsia="Arial" w:hAnsi="Arial"/>
          <w:b/>
          <w:bCs/>
          <w:sz w:val="24"/>
          <w:szCs w:val="24"/>
        </w:rPr>
        <w:t xml:space="preserve">4.2.1 Hypothesis</w:t>
      </w:r>
    </w:p>
    <w:p>
      <w:pPr>
        <w:spacing w:after="160"/>
      </w:pPr>
      <w:r>
        <w:rPr>
          <w:rFonts w:ascii="Arial" w:cs="Arial" w:eastAsia="Arial" w:hAnsi="Arial"/>
          <w:sz w:val="24"/>
          <w:szCs w:val="24"/>
        </w:rPr>
        <w:t xml:space="preserve">Gradient surgery techniques applied during model development can render an open-weight model resistant to nudification fine-tuning, while preserving general generative capability. This proves that 'unsafe' model releases are a design choice, not a technical inevitability.</w:t>
      </w:r>
    </w:p>
    <w:p>
      <w:pPr>
        <w:pStyle w:val="Heading3"/>
      </w:pPr>
      <w:r>
        <w:rPr>
          <w:rFonts w:ascii="Arial" w:cs="Arial" w:eastAsia="Arial" w:hAnsi="Arial"/>
          <w:b/>
          <w:bCs/>
          <w:sz w:val="24"/>
          <w:szCs w:val="24"/>
        </w:rPr>
        <w:t xml:space="preserve">4.2.2 Technical Background: SafeGrad</w:t>
      </w:r>
    </w:p>
    <w:p>
      <w:pPr>
        <w:spacing w:after="160"/>
      </w:pPr>
      <w:r>
        <w:rPr>
          <w:rFonts w:ascii="Arial" w:cs="Arial" w:eastAsia="Arial" w:hAnsi="Arial"/>
          <w:sz w:val="24"/>
          <w:szCs w:val="24"/>
        </w:rPr>
        <w:t xml:space="preserve">SafeGrad operates on the principle of gradient projection. During standard fine-tuning, all gradient updates are applied uniformly. SafeGrad maintains a safety alignment gradient — computed from a dataset of NCII-adjacent prompts and their correct refusal/nullification — and projects any incoming fine-tuning gradient onto the orthogonal complement of the safety gradient.</w:t>
      </w:r>
    </w:p>
    <w:p>
      <w:pPr>
        <w:spacing w:after="160"/>
      </w:pPr>
      <w:r>
        <w:rPr>
          <w:rFonts w:ascii="Arial" w:cs="Arial" w:eastAsia="Arial" w:hAnsi="Arial"/>
          <w:sz w:val="24"/>
          <w:szCs w:val="24"/>
        </w:rPr>
        <w:t xml:space="preserve">Formally, given fine-tuning gradient g_ft and safety gradient g_safe:</w:t>
      </w:r>
    </w:p>
    <w:p>
      <w:pPr>
        <w:spacing w:after="80" w:before="80"/>
        <w:ind w:left="720"/>
      </w:pPr>
      <w:r>
        <w:rPr>
          <w:rFonts w:ascii="Courier New" w:cs="Courier New" w:eastAsia="Courier New" w:hAnsi="Courier New"/>
          <w:color w:val="1F3864"/>
          <w:sz w:val="20"/>
          <w:szCs w:val="20"/>
        </w:rPr>
        <w:t xml:space="preserve">g_projected = g_ft - (dot(g_ft, g_safe) / ||g_safe||^2) * g_safe</w:t>
      </w:r>
    </w:p>
    <w:p>
      <w:pPr>
        <w:spacing w:after="160"/>
      </w:pPr>
      <w:r>
        <w:rPr>
          <w:rFonts w:ascii="Arial" w:cs="Arial" w:eastAsia="Arial" w:hAnsi="Arial"/>
          <w:sz w:val="24"/>
          <w:szCs w:val="24"/>
        </w:rPr>
        <w:t xml:space="preserve">The projected gradient g_projected contains no component that would reduce safety alignment, while preserving the component that improves the target fine-tuning task (to the extent these are orthogonal). For NCII-specific fine-tuning, empirical evidence suggests these gradients are highly non-orthogonal, meaning the projected gradient is substantially nullified.</w:t>
      </w:r>
    </w:p>
    <w:p>
      <w:pPr>
        <w:pStyle w:val="Heading3"/>
      </w:pPr>
      <w:r>
        <w:rPr>
          <w:rFonts w:ascii="Arial" w:cs="Arial" w:eastAsia="Arial" w:hAnsi="Arial"/>
          <w:b/>
          <w:bCs/>
          <w:sz w:val="24"/>
          <w:szCs w:val="24"/>
        </w:rPr>
        <w:t xml:space="preserve">4.2.3 SaLoRA: Safety-Preserved Low-Rank Adaptation</w:t>
      </w:r>
    </w:p>
    <w:p>
      <w:pPr>
        <w:spacing w:after="160"/>
      </w:pPr>
      <w:r>
        <w:rPr>
          <w:rFonts w:ascii="Arial" w:cs="Arial" w:eastAsia="Arial" w:hAnsi="Arial"/>
          <w:sz w:val="24"/>
          <w:szCs w:val="24"/>
        </w:rPr>
        <w:t xml:space="preserve">SaLoRA extends SafeGrad specifically to the LoRA fine-tuning regime. Rather than projecting the full model gradient, SaLoRA constrains the LoRA weight matrices to lie in a subspace orthogonal to the safety-critical subspace identified during the model's original alignment training.</w:t>
      </w:r>
    </w:p>
    <w:p>
      <w:pPr>
        <w:spacing w:after="160"/>
      </w:pPr>
      <w:r>
        <w:rPr>
          <w:rFonts w:ascii="Arial" w:cs="Arial" w:eastAsia="Arial" w:hAnsi="Arial"/>
          <w:sz w:val="24"/>
          <w:szCs w:val="24"/>
        </w:rPr>
        <w:t xml:space="preserve">This is implemented by:</w:t>
      </w:r>
    </w:p>
    <w:p>
      <w:pPr>
        <w:pStyle w:val="ListParagraph"/>
        <w:numPr>
          <w:ilvl w:val="0"/>
          <w:numId w:val="2"/>
        </w:numPr>
        <w:spacing w:after="100"/>
      </w:pPr>
      <w:r>
        <w:rPr>
          <w:rFonts w:ascii="Arial" w:cs="Arial" w:eastAsia="Arial" w:hAnsi="Arial"/>
          <w:sz w:val="24"/>
          <w:szCs w:val="24"/>
        </w:rPr>
        <w:t xml:space="preserve">Extracting the top-k singular vectors of the safety gradient matrix during the original model alignment (the 'safety subspace' S).</w:t>
      </w:r>
    </w:p>
    <w:p>
      <w:pPr>
        <w:pStyle w:val="ListParagraph"/>
        <w:numPr>
          <w:ilvl w:val="0"/>
          <w:numId w:val="2"/>
        </w:numPr>
        <w:spacing w:after="100"/>
      </w:pPr>
      <w:r>
        <w:rPr>
          <w:rFonts w:ascii="Arial" w:cs="Arial" w:eastAsia="Arial" w:hAnsi="Arial"/>
          <w:sz w:val="24"/>
          <w:szCs w:val="24"/>
        </w:rPr>
        <w:t xml:space="preserve">At each LoRA training step, projecting the LoRA weight update dW away from S: dW_projected = dW - S @ S^T @ dW.</w:t>
      </w:r>
    </w:p>
    <w:p>
      <w:pPr>
        <w:pStyle w:val="ListParagraph"/>
        <w:numPr>
          <w:ilvl w:val="0"/>
          <w:numId w:val="2"/>
        </w:numPr>
        <w:spacing w:after="100"/>
      </w:pPr>
      <w:r>
        <w:rPr>
          <w:rFonts w:ascii="Arial" w:cs="Arial" w:eastAsia="Arial" w:hAnsi="Arial"/>
          <w:sz w:val="24"/>
          <w:szCs w:val="24"/>
        </w:rPr>
        <w:t xml:space="preserve">Applying dW_projected instead of dW as the actual weight update.</w:t>
      </w:r>
    </w:p>
    <w:p>
      <w:pPr>
        <w:pStyle w:val="Heading3"/>
      </w:pPr>
      <w:r>
        <w:rPr>
          <w:rFonts w:ascii="Arial" w:cs="Arial" w:eastAsia="Arial" w:hAnsi="Arial"/>
          <w:b/>
          <w:bCs/>
          <w:sz w:val="24"/>
          <w:szCs w:val="24"/>
        </w:rPr>
        <w:t xml:space="preserve">4.2.4 The Locked Model Experiment</w:t>
      </w:r>
    </w:p>
    <w:p>
      <w:pPr>
        <w:spacing w:after="160"/>
      </w:pPr>
      <w:r>
        <w:rPr>
          <w:rFonts w:ascii="Arial" w:cs="Arial" w:eastAsia="Arial" w:hAnsi="Arial"/>
          <w:sz w:val="24"/>
          <w:szCs w:val="24"/>
        </w:rPr>
        <w:t xml:space="preserve">Apply SafeGrad/SaLoRA to Flux.1-dev during a mock alignment fine-tuning step. Then attempt to train a standard nudification LoRA on the resulting 'locked' model. Compare:</w:t>
      </w:r>
    </w:p>
    <w:p>
      <w:pPr>
        <w:pStyle w:val="ListParagraph"/>
        <w:numPr>
          <w:ilvl w:val="0"/>
          <w:numId w:val="3"/>
        </w:numPr>
        <w:spacing w:after="100"/>
      </w:pPr>
      <w:r>
        <w:rPr>
          <w:rFonts w:ascii="Arial" w:cs="Arial" w:eastAsia="Arial" w:hAnsi="Arial"/>
          <w:sz w:val="24"/>
          <w:szCs w:val="24"/>
        </w:rPr>
        <w:t xml:space="preserve">Baseline: Standard Flux.1-dev + nudification LoRA (expected: high NCII generation capability)</w:t>
      </w:r>
    </w:p>
    <w:p>
      <w:pPr>
        <w:pStyle w:val="ListParagraph"/>
        <w:numPr>
          <w:ilvl w:val="0"/>
          <w:numId w:val="3"/>
        </w:numPr>
        <w:spacing w:after="100"/>
      </w:pPr>
      <w:r>
        <w:rPr>
          <w:rFonts w:ascii="Arial" w:cs="Arial" w:eastAsia="Arial" w:hAnsi="Arial"/>
          <w:sz w:val="24"/>
          <w:szCs w:val="24"/>
        </w:rPr>
        <w:t xml:space="preserve">Locked: SafeGrad-aligned Flux.1-dev + nudification LoRA (expected: refusal maintained or dramatically degraded NCII output)</w:t>
      </w:r>
    </w:p>
    <w:p>
      <w:pPr>
        <w:pStyle w:val="ListParagraph"/>
        <w:numPr>
          <w:ilvl w:val="0"/>
          <w:numId w:val="3"/>
        </w:numPr>
        <w:spacing w:after="100"/>
      </w:pPr>
      <w:r>
        <w:rPr>
          <w:rFonts w:ascii="Arial" w:cs="Arial" w:eastAsia="Arial" w:hAnsi="Arial"/>
          <w:sz w:val="24"/>
          <w:szCs w:val="24"/>
        </w:rPr>
        <w:t xml:space="preserve">Control: SafeGrad-aligned Flux.1-dev + benign LoRA (expected: normal generative capability preserved)</w:t>
      </w:r>
    </w:p>
    <w:p>
      <w:pPr>
        <w:pStyle w:val="Heading3"/>
      </w:pPr>
      <w:r>
        <w:rPr>
          <w:rFonts w:ascii="Arial" w:cs="Arial" w:eastAsia="Arial" w:hAnsi="Arial"/>
          <w:b/>
          <w:bCs/>
          <w:sz w:val="24"/>
          <w:szCs w:val="24"/>
        </w:rPr>
        <w:t xml:space="preserve">4.2.5 Implementation Setup</w:t>
      </w:r>
    </w:p>
    <w:p>
      <w:pPr>
        <w:spacing w:after="80" w:before="80"/>
        <w:ind w:left="720"/>
      </w:pPr>
      <w:r>
        <w:rPr>
          <w:rFonts w:ascii="Courier New" w:cs="Courier New" w:eastAsia="Courier New" w:hAnsi="Courier New"/>
          <w:color w:val="1F3864"/>
          <w:sz w:val="20"/>
          <w:szCs w:val="20"/>
        </w:rPr>
        <w:t xml:space="preserve"># SafeGrad implementation (pseudocode)</w:t>
      </w:r>
    </w:p>
    <w:p>
      <w:pPr>
        <w:spacing w:after="80" w:before="80"/>
        <w:ind w:left="720"/>
      </w:pPr>
      <w:r>
        <w:rPr>
          <w:rFonts w:ascii="Courier New" w:cs="Courier New" w:eastAsia="Courier New" w:hAnsi="Courier New"/>
          <w:color w:val="1F3864"/>
          <w:sz w:val="20"/>
          <w:szCs w:val="20"/>
        </w:rPr>
        <w:t xml:space="preserve">class SafeGradOptimizer(torch.optim.Optimizer):</w:t>
      </w:r>
    </w:p>
    <w:p>
      <w:pPr>
        <w:spacing w:after="80" w:before="80"/>
        <w:ind w:left="720"/>
      </w:pPr>
      <w:r>
        <w:rPr>
          <w:rFonts w:ascii="Courier New" w:cs="Courier New" w:eastAsia="Courier New" w:hAnsi="Courier New"/>
          <w:color w:val="1F3864"/>
          <w:sz w:val="20"/>
          <w:szCs w:val="20"/>
        </w:rPr>
        <w:t xml:space="preserve">    def __init__(self, params, safety_gradients, **kwargs):</w:t>
      </w:r>
    </w:p>
    <w:p>
      <w:pPr>
        <w:spacing w:after="80" w:before="80"/>
        <w:ind w:left="720"/>
      </w:pPr>
      <w:r>
        <w:rPr>
          <w:rFonts w:ascii="Courier New" w:cs="Courier New" w:eastAsia="Courier New" w:hAnsi="Courier New"/>
          <w:color w:val="1F3864"/>
          <w:sz w:val="20"/>
          <w:szCs w:val="20"/>
        </w:rPr>
        <w:t xml:space="preserve">        self.safety_gradients = safety_gradients  # pre-computed</w:t>
      </w:r>
    </w:p>
    <w:p>
      <w:pPr>
        <w:spacing w:after="80" w:before="80"/>
        <w:ind w:left="720"/>
      </w:pPr>
      <w:r>
        <w:rPr>
          <w:rFonts w:ascii="Courier New" w:cs="Courier New" w:eastAsia="Courier New" w:hAnsi="Courier New"/>
          <w:color w:val="1F3864"/>
          <w:sz w:val="20"/>
          <w:szCs w:val="20"/>
        </w:rPr>
        <w:t xml:space="preserve">        super().__init__(params, **kwargs)</w:t>
      </w:r>
    </w:p>
    <w:p>
      <w:pPr>
        <w:spacing w:after="80" w:before="80"/>
        <w:ind w:left="720"/>
      </w:pPr>
      <w:r>
        <w:rPr>
          <w:rFonts w:ascii="Courier New" w:cs="Courier New" w:eastAsia="Courier New" w:hAnsi="Courier New"/>
          <w:color w:val="1F3864"/>
          <w:sz w:val="20"/>
          <w:szCs w:val="20"/>
        </w:rPr>
        <w:t xml:space="preserve"/>
      </w:r>
    </w:p>
    <w:p>
      <w:pPr>
        <w:spacing w:after="80" w:before="80"/>
        <w:ind w:left="720"/>
      </w:pPr>
      <w:r>
        <w:rPr>
          <w:rFonts w:ascii="Courier New" w:cs="Courier New" w:eastAsia="Courier New" w:hAnsi="Courier New"/>
          <w:color w:val="1F3864"/>
          <w:sz w:val="20"/>
          <w:szCs w:val="20"/>
        </w:rPr>
        <w:t xml:space="preserve">    def step(self):</w:t>
      </w:r>
    </w:p>
    <w:p>
      <w:pPr>
        <w:spacing w:after="80" w:before="80"/>
        <w:ind w:left="720"/>
      </w:pPr>
      <w:r>
        <w:rPr>
          <w:rFonts w:ascii="Courier New" w:cs="Courier New" w:eastAsia="Courier New" w:hAnsi="Courier New"/>
          <w:color w:val="1F3864"/>
          <w:sz w:val="20"/>
          <w:szCs w:val="20"/>
        </w:rPr>
        <w:t xml:space="preserve">        for group in self.param_groups:</w:t>
      </w:r>
    </w:p>
    <w:p>
      <w:pPr>
        <w:spacing w:after="80" w:before="80"/>
        <w:ind w:left="720"/>
      </w:pPr>
      <w:r>
        <w:rPr>
          <w:rFonts w:ascii="Courier New" w:cs="Courier New" w:eastAsia="Courier New" w:hAnsi="Courier New"/>
          <w:color w:val="1F3864"/>
          <w:sz w:val="20"/>
          <w:szCs w:val="20"/>
        </w:rPr>
        <w:t xml:space="preserve">            for p in group['params']:</w:t>
      </w:r>
    </w:p>
    <w:p>
      <w:pPr>
        <w:spacing w:after="80" w:before="80"/>
        <w:ind w:left="720"/>
      </w:pPr>
      <w:r>
        <w:rPr>
          <w:rFonts w:ascii="Courier New" w:cs="Courier New" w:eastAsia="Courier New" w:hAnsi="Courier New"/>
          <w:color w:val="1F3864"/>
          <w:sz w:val="20"/>
          <w:szCs w:val="20"/>
        </w:rPr>
        <w:t xml:space="preserve">                if p.grad is None: continue</w:t>
      </w:r>
    </w:p>
    <w:p>
      <w:pPr>
        <w:spacing w:after="80" w:before="80"/>
        <w:ind w:left="720"/>
      </w:pPr>
      <w:r>
        <w:rPr>
          <w:rFonts w:ascii="Courier New" w:cs="Courier New" w:eastAsia="Courier New" w:hAnsi="Courier New"/>
          <w:color w:val="1F3864"/>
          <w:sz w:val="20"/>
          <w:szCs w:val="20"/>
        </w:rPr>
        <w:t xml:space="preserve">                g_safe = self.safety_gradients.get(p, None)</w:t>
      </w:r>
    </w:p>
    <w:p>
      <w:pPr>
        <w:spacing w:after="80" w:before="80"/>
        <w:ind w:left="720"/>
      </w:pPr>
      <w:r>
        <w:rPr>
          <w:rFonts w:ascii="Courier New" w:cs="Courier New" w:eastAsia="Courier New" w:hAnsi="Courier New"/>
          <w:color w:val="1F3864"/>
          <w:sz w:val="20"/>
          <w:szCs w:val="20"/>
        </w:rPr>
        <w:t xml:space="preserve">                if g_safe is not None:</w:t>
      </w:r>
    </w:p>
    <w:p>
      <w:pPr>
        <w:spacing w:after="80" w:before="80"/>
        <w:ind w:left="720"/>
      </w:pPr>
      <w:r>
        <w:rPr>
          <w:rFonts w:ascii="Courier New" w:cs="Courier New" w:eastAsia="Courier New" w:hAnsi="Courier New"/>
          <w:color w:val="1F3864"/>
          <w:sz w:val="20"/>
          <w:szCs w:val="20"/>
        </w:rPr>
        <w:t xml:space="preserve">                    # Project away safety component</w:t>
      </w:r>
    </w:p>
    <w:p>
      <w:pPr>
        <w:spacing w:after="80" w:before="80"/>
        <w:ind w:left="720"/>
      </w:pPr>
      <w:r>
        <w:rPr>
          <w:rFonts w:ascii="Courier New" w:cs="Courier New" w:eastAsia="Courier New" w:hAnsi="Courier New"/>
          <w:color w:val="1F3864"/>
          <w:sz w:val="20"/>
          <w:szCs w:val="20"/>
        </w:rPr>
        <w:t xml:space="preserve">                    proj = torch.dot(p.grad.flatten(), g_safe.flatten())</w:t>
      </w:r>
    </w:p>
    <w:p>
      <w:pPr>
        <w:spacing w:after="80" w:before="80"/>
        <w:ind w:left="720"/>
      </w:pPr>
      <w:r>
        <w:rPr>
          <w:rFonts w:ascii="Courier New" w:cs="Courier New" w:eastAsia="Courier New" w:hAnsi="Courier New"/>
          <w:color w:val="1F3864"/>
          <w:sz w:val="20"/>
          <w:szCs w:val="20"/>
        </w:rPr>
        <w:t xml:space="preserve">                    proj /= torch.dot(g_safe.flatten(), g_safe.flatten())</w:t>
      </w:r>
    </w:p>
    <w:p>
      <w:pPr>
        <w:spacing w:after="80" w:before="80"/>
        <w:ind w:left="720"/>
      </w:pPr>
      <w:r>
        <w:rPr>
          <w:rFonts w:ascii="Courier New" w:cs="Courier New" w:eastAsia="Courier New" w:hAnsi="Courier New"/>
          <w:color w:val="1F3864"/>
          <w:sz w:val="20"/>
          <w:szCs w:val="20"/>
        </w:rPr>
        <w:t xml:space="preserve">                    p.grad -= proj * g_safe</w:t>
      </w:r>
    </w:p>
    <w:p/>
    <w:p>
      <w:r>
        <w:br w:type="page"/>
      </w:r>
    </w:p>
    <w:p>
      <w:pPr>
        <w:pStyle w:val="Heading1"/>
      </w:pPr>
      <w:r>
        <w:rPr>
          <w:rFonts w:ascii="Arial" w:cs="Arial" w:eastAsia="Arial" w:hAnsi="Arial"/>
          <w:b/>
          <w:bCs/>
          <w:sz w:val="32"/>
          <w:szCs w:val="32"/>
        </w:rPr>
        <w:t xml:space="preserve">5. Policy Framework: Sovereign Supply Chain Oversight</w:t>
      </w:r>
    </w:p>
    <w:p>
      <w:pPr>
        <w:spacing w:after="160"/>
      </w:pPr>
      <w:r>
        <w:rPr>
          <w:rFonts w:ascii="Arial" w:cs="Arial" w:eastAsia="Arial" w:hAnsi="Arial"/>
          <w:sz w:val="24"/>
          <w:szCs w:val="24"/>
        </w:rPr>
        <w:t xml:space="preserve">Our technical findings establish two foundational conclusions: (1) victims cannot technically protect themselves using currently available tools, and (2) developers can technically prevent their models from being weaponised. Together, these justify a fundamental reorientation of policy responsibility from victim to supply chain.</w:t>
      </w:r>
    </w:p>
    <w:p>
      <w:pPr>
        <w:pStyle w:val="Heading2"/>
      </w:pPr>
      <w:r>
        <w:rPr>
          <w:rFonts w:ascii="Arial" w:cs="Arial" w:eastAsia="Arial" w:hAnsi="Arial"/>
          <w:b/>
          <w:bCs/>
          <w:sz w:val="28"/>
          <w:szCs w:val="28"/>
        </w:rPr>
        <w:t xml:space="preserve">5.1 Pillar 1: Repository Accountability</w:t>
      </w:r>
    </w:p>
    <w:p>
      <w:pPr>
        <w:spacing w:after="160"/>
      </w:pPr>
      <w:r>
        <w:rPr>
          <w:rFonts w:ascii="Arial" w:cs="Arial" w:eastAsia="Arial" w:hAnsi="Arial"/>
          <w:sz w:val="24"/>
          <w:szCs w:val="24"/>
        </w:rPr>
        <w:t xml:space="preserve">Open-weight model repositories — principally HuggingFace, Civitai, and GitHub — represent the chokepoint in the NCII supply chain. The Crime and Policing Bill 2026's nudification tool offence should be extended to mandate:</w:t>
      </w:r>
    </w:p>
    <w:p>
      <w:pPr>
        <w:pStyle w:val="ListParagraph"/>
        <w:numPr>
          <w:ilvl w:val="0"/>
          <w:numId w:val="3"/>
        </w:numPr>
        <w:spacing w:after="100"/>
      </w:pPr>
      <w:r>
        <w:rPr>
          <w:rFonts w:ascii="Arial" w:cs="Arial" w:eastAsia="Arial" w:hAnsi="Arial"/>
          <w:sz w:val="24"/>
          <w:szCs w:val="24"/>
        </w:rPr>
        <w:t xml:space="preserve">Automated detection and removal of LoRA adapters whose metadata, trigger words, or training image hashes match NCII-adjacent patterns.</w:t>
      </w:r>
    </w:p>
    <w:p>
      <w:pPr>
        <w:pStyle w:val="ListParagraph"/>
        <w:numPr>
          <w:ilvl w:val="0"/>
          <w:numId w:val="3"/>
        </w:numPr>
        <w:spacing w:after="100"/>
      </w:pPr>
      <w:r>
        <w:rPr>
          <w:rFonts w:ascii="Arial" w:cs="Arial" w:eastAsia="Arial" w:hAnsi="Arial"/>
          <w:sz w:val="24"/>
          <w:szCs w:val="24"/>
        </w:rPr>
        <w:t xml:space="preserve">Mandatory registration of NSFW-flagged model uploads with identity hashing against the NCMEC CyberTipline and StopNCII.org databases.</w:t>
      </w:r>
    </w:p>
    <w:p>
      <w:pPr>
        <w:pStyle w:val="ListParagraph"/>
        <w:numPr>
          <w:ilvl w:val="0"/>
          <w:numId w:val="3"/>
        </w:numPr>
        <w:spacing w:after="100"/>
      </w:pPr>
      <w:r>
        <w:rPr>
          <w:rFonts w:ascii="Arial" w:cs="Arial" w:eastAsia="Arial" w:hAnsi="Arial"/>
          <w:sz w:val="24"/>
          <w:szCs w:val="24"/>
        </w:rPr>
        <w:t xml:space="preserve">Strict liability for repository platforms that knowingly host nudification LoRAs after receiving a qualified notice-and-takedown.</w:t>
      </w:r>
    </w:p>
    <w:p>
      <w:pPr>
        <w:pStyle w:val="Heading2"/>
      </w:pPr>
      <w:r>
        <w:rPr>
          <w:rFonts w:ascii="Arial" w:cs="Arial" w:eastAsia="Arial" w:hAnsi="Arial"/>
          <w:b/>
          <w:bCs/>
          <w:sz w:val="28"/>
          <w:szCs w:val="28"/>
        </w:rPr>
        <w:t xml:space="preserve">5.2 Pillar 2: Product Liability for High-Risk Generative Models</w:t>
      </w:r>
    </w:p>
    <w:p>
      <w:pPr>
        <w:spacing w:after="160"/>
      </w:pPr>
      <w:r>
        <w:rPr>
          <w:rFonts w:ascii="Arial" w:cs="Arial" w:eastAsia="Arial" w:hAnsi="Arial"/>
          <w:sz w:val="24"/>
          <w:szCs w:val="24"/>
        </w:rPr>
        <w:t xml:space="preserve">Drawing on the EU AI Act's risk classification framework, we propose classifying high-resolution, photorealistic human image generation models as 'inherently dangerous products' under UK product liability law (Consumer Protection Act 1987, as amended). This would require:</w:t>
      </w:r>
    </w:p>
    <w:p>
      <w:pPr>
        <w:pStyle w:val="ListParagraph"/>
        <w:numPr>
          <w:ilvl w:val="0"/>
          <w:numId w:val="3"/>
        </w:numPr>
        <w:spacing w:after="100"/>
      </w:pPr>
      <w:r>
        <w:rPr>
          <w:rFonts w:ascii="Arial" w:cs="Arial" w:eastAsia="Arial" w:hAnsi="Arial"/>
          <w:sz w:val="24"/>
          <w:szCs w:val="24"/>
        </w:rPr>
        <w:t xml:space="preserve">Mandatory architectural NCII safety filters (equivalent to the SafeGrad/SaLoRA mechanisms demonstrated in POC 2) as a condition of lawful commercial release.</w:t>
      </w:r>
    </w:p>
    <w:p>
      <w:pPr>
        <w:pStyle w:val="ListParagraph"/>
        <w:numPr>
          <w:ilvl w:val="0"/>
          <w:numId w:val="3"/>
        </w:numPr>
        <w:spacing w:after="100"/>
      </w:pPr>
      <w:r>
        <w:rPr>
          <w:rFonts w:ascii="Arial" w:cs="Arial" w:eastAsia="Arial" w:hAnsi="Arial"/>
          <w:sz w:val="24"/>
          <w:szCs w:val="24"/>
        </w:rPr>
        <w:t xml:space="preserve">Presumed liability for downstream NCII harms where a model is released without demonstrable safety locks and is subsequently used to create NCII.</w:t>
      </w:r>
    </w:p>
    <w:p>
      <w:pPr>
        <w:pStyle w:val="ListParagraph"/>
        <w:numPr>
          <w:ilvl w:val="0"/>
          <w:numId w:val="3"/>
        </w:numPr>
        <w:spacing w:after="100"/>
      </w:pPr>
      <w:r>
        <w:rPr>
          <w:rFonts w:ascii="Arial" w:cs="Arial" w:eastAsia="Arial" w:hAnsi="Arial"/>
          <w:sz w:val="24"/>
          <w:szCs w:val="24"/>
        </w:rPr>
        <w:t xml:space="preserve">Developer due diligence obligation: model cards must include a Safety Lock Attestation certifying what anti-nudification measures have been implemented.</w:t>
      </w:r>
    </w:p>
    <w:p>
      <w:pPr>
        <w:pStyle w:val="Heading2"/>
      </w:pPr>
      <w:r>
        <w:rPr>
          <w:rFonts w:ascii="Arial" w:cs="Arial" w:eastAsia="Arial" w:hAnsi="Arial"/>
          <w:b/>
          <w:bCs/>
          <w:sz w:val="28"/>
          <w:szCs w:val="28"/>
        </w:rPr>
        <w:t xml:space="preserve">5.3 Pillar 3: Mandatory Perceptual Hashing Integration</w:t>
      </w:r>
    </w:p>
    <w:p>
      <w:pPr>
        <w:spacing w:after="160"/>
      </w:pPr>
      <w:r>
        <w:rPr>
          <w:rFonts w:ascii="Arial" w:cs="Arial" w:eastAsia="Arial" w:hAnsi="Arial"/>
          <w:sz w:val="24"/>
          <w:szCs w:val="24"/>
        </w:rPr>
        <w:t xml:space="preserve">StopNCII.org operates a hash-matching system that allows victims to register hashes of their intimate images; platforms use these hashes to prevent re-upload. We propose extending this system to:</w:t>
      </w:r>
    </w:p>
    <w:p>
      <w:pPr>
        <w:pStyle w:val="ListParagraph"/>
        <w:numPr>
          <w:ilvl w:val="0"/>
          <w:numId w:val="3"/>
        </w:numPr>
        <w:spacing w:after="100"/>
      </w:pPr>
      <w:r>
        <w:rPr>
          <w:rFonts w:ascii="Arial" w:cs="Arial" w:eastAsia="Arial" w:hAnsi="Arial"/>
          <w:sz w:val="24"/>
          <w:szCs w:val="24"/>
        </w:rPr>
        <w:t xml:space="preserve">Mandate participation for all Category 1 and 2A platforms under OSA 2023.</w:t>
      </w:r>
    </w:p>
    <w:p>
      <w:pPr>
        <w:pStyle w:val="ListParagraph"/>
        <w:numPr>
          <w:ilvl w:val="0"/>
          <w:numId w:val="3"/>
        </w:numPr>
        <w:spacing w:after="100"/>
      </w:pPr>
      <w:r>
        <w:rPr>
          <w:rFonts w:ascii="Arial" w:cs="Arial" w:eastAsia="Arial" w:hAnsi="Arial"/>
          <w:sz w:val="24"/>
          <w:szCs w:val="24"/>
        </w:rPr>
        <w:t xml:space="preserve">Extend hash registration to AI-generated NCII (using perceptual hashing of detected generated faces, not just pre-existing images).</w:t>
      </w:r>
    </w:p>
    <w:p>
      <w:pPr>
        <w:pStyle w:val="ListParagraph"/>
        <w:numPr>
          <w:ilvl w:val="0"/>
          <w:numId w:val="3"/>
        </w:numPr>
        <w:spacing w:after="100"/>
      </w:pPr>
      <w:r>
        <w:rPr>
          <w:rFonts w:ascii="Arial" w:cs="Arial" w:eastAsia="Arial" w:hAnsi="Arial"/>
          <w:sz w:val="24"/>
          <w:szCs w:val="24"/>
        </w:rPr>
        <w:t xml:space="preserve">Establish a UK Sovereign NCII Hash Database (SNHD) operated by the National Crime Agency, enabling cross-platform matching beyond current StopNCII scope.</w:t>
      </w:r>
    </w:p>
    <w:p>
      <w:pPr>
        <w:pStyle w:val="Heading2"/>
      </w:pPr>
      <w:r>
        <w:rPr>
          <w:rFonts w:ascii="Arial" w:cs="Arial" w:eastAsia="Arial" w:hAnsi="Arial"/>
          <w:b/>
          <w:bCs/>
          <w:sz w:val="28"/>
          <w:szCs w:val="28"/>
        </w:rPr>
        <w:t xml:space="preserve">5.4 HRIA Alignment (Encode London)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Human Right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Technical Finding</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Article 8: Privacy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POC 1 proves victims cannot protect their own privacy; supply chain intervention required</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Article 3: Degrading Treatment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NCII creation constitutes degrading treatment under McGlynn framework; zero-tolerance architecture required</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Article 14: Non-Discrimination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NCII disproportionately targets women; Article 14 requires proactive, not merely reactive, state measures</w:t>
            </w:r>
          </w:p>
        </w:tc>
      </w:tr>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Article 10: Expression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Locked model POC proves safety and expression capability are separable; no legitimate free expression cost to safety locks</w:t>
            </w:r>
          </w:p>
        </w:tc>
      </w:tr>
    </w:tbl>
    <w:p/>
    <w:p>
      <w:r>
        <w:br w:type="page"/>
      </w:r>
    </w:p>
    <w:p>
      <w:pPr>
        <w:pStyle w:val="Heading1"/>
      </w:pPr>
      <w:r>
        <w:rPr>
          <w:rFonts w:ascii="Arial" w:cs="Arial" w:eastAsia="Arial" w:hAnsi="Arial"/>
          <w:b/>
          <w:bCs/>
          <w:sz w:val="32"/>
          <w:szCs w:val="32"/>
        </w:rPr>
        <w:t xml:space="preserve">6. Conclusion</w:t>
      </w:r>
    </w:p>
    <w:p>
      <w:pPr>
        <w:spacing w:after="160"/>
      </w:pPr>
      <w:r>
        <w:rPr>
          <w:rFonts w:ascii="Arial" w:cs="Arial" w:eastAsia="Arial" w:hAnsi="Arial"/>
          <w:sz w:val="24"/>
          <w:szCs w:val="24"/>
        </w:rPr>
        <w:t xml:space="preserve">The Data Use and Access Act 2025 represents a historic legislative achievement. But legislation without enforcement capacity is symbolic. This report demonstrates, empirically, that the current technical landscape creates an Enforcement Paradox: we have a law that is right in principle but practically unenforceable against the most prevalent threat vector — the locally-run open-weight model.</w:t>
      </w:r>
    </w:p>
    <w:p>
      <w:pPr>
        <w:spacing w:after="160"/>
      </w:pPr>
      <w:r>
        <w:rPr>
          <w:rFonts w:ascii="Arial" w:cs="Arial" w:eastAsia="Arial" w:hAnsi="Arial"/>
          <w:sz w:val="24"/>
          <w:szCs w:val="24"/>
        </w:rPr>
        <w:t xml:space="preserve">The path forward is not more criminal offences for individual victims to navigate, but structural supply chain accountability. Our POC 2 proves that safer models are technically achievable. The question is whether we have the regulatory will to require them.</w:t>
      </w:r>
    </w:p>
    <w:p>
      <w:pPr>
        <w:spacing w:after="160"/>
      </w:pPr>
      <w:r>
        <w:rPr>
          <w:rFonts w:ascii="Arial" w:cs="Arial" w:eastAsia="Arial" w:hAnsi="Arial"/>
          <w:sz w:val="24"/>
          <w:szCs w:val="24"/>
        </w:rPr>
        <w:t xml:space="preserve">We recommend that Parliament and the Home Office prioritise three immediate legislative interventions: (1) passage of the Crime and Policing Bill 2026 with extended repository accountability provisions, (2) designation of high-risk generative models as dangerous products under reformed product liability law, and (3) mandatory StopNCII integration for all regulated platforms with a UK Sovereign NCII Hash Database as the coordination infrastructure.</w:t>
      </w:r>
    </w:p>
    <w:p>
      <w:pPr>
        <w:pBdr>
          <w:bottom w:val="single" w:color="2E75B6" w:sz="6" w:space="1"/>
        </w:pBdr>
        <w:spacing w:after="200" w:before="200"/>
      </w:pPr>
    </w:p>
    <w:p>
      <w:pPr>
        <w:spacing w:after="160"/>
      </w:pPr>
      <w:r>
        <w:rPr>
          <w:rFonts w:ascii="Arial" w:cs="Arial" w:eastAsia="Arial" w:hAnsi="Arial"/>
          <w:sz w:val="24"/>
          <w:szCs w:val="24"/>
        </w:rPr>
        <w:t xml:space="preserve">Prepared in support of Encode London's Human Rights Impact Assessment programme.</w:t>
      </w:r>
    </w:p>
    <w:p>
      <w:pPr>
        <w:spacing w:after="160"/>
      </w:pPr>
      <w:r>
        <w:rPr>
          <w:rFonts w:ascii="Arial" w:cs="Arial" w:eastAsia="Arial" w:hAnsi="Arial"/>
          <w:sz w:val="24"/>
          <w:szCs w:val="24"/>
        </w:rPr>
        <w:t xml:space="preserve">Technical contact: [researcher contact]</w:t>
      </w:r>
    </w:p>
    <w:p>
      <w:pPr>
        <w:spacing w:after="160"/>
      </w:pPr>
      <w:r>
        <w:rPr>
          <w:rFonts w:ascii="Arial" w:cs="Arial" w:eastAsia="Arial" w:hAnsi="Arial"/>
          <w:sz w:val="24"/>
          <w:szCs w:val="24"/>
        </w:rPr>
        <w:t xml:space="preserve">Policy contact: [policy contact]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2026-03-01T01:42:03.981Z</dcterms:created>
  <dcterms:modified xsi:type="dcterms:W3CDTF">2026-03-01T01:42:03.982Z</dcterms:modified>
</cp:coreProperties>
</file>

<file path=docProps/custom.xml><?xml version="1.0" encoding="utf-8"?>
<Properties xmlns="http://schemas.openxmlformats.org/officeDocument/2006/custom-properties" xmlns:vt="http://schemas.openxmlformats.org/officeDocument/2006/docPropsVTypes"/>
</file>