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Variant / metric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p=.15</w:t>
              <w:br/>
              <w:t>Coverage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p=.15</w:t>
              <w:br/>
              <w:t>NDCG@10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p=.30</w:t>
              <w:br/>
              <w:t>Coverage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p=.30</w:t>
              <w:br/>
              <w:t>NDCG@10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0.0870 ± 0.0247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0.1793 ± 0.0158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0.0055 ± 0.0062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0.1774 ± 0.0157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Unsmoothed α=0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0.1808 ± 0.0314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0.1768 ± 0.0145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0.0117 ± 0.0068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0.1749 ± 0.0142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 prefix m=0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0.1880 ± 0.0332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0.1762 ± 0.0140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0.0117 ± 0.0076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0.1741 ± 0.0141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Full EDE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0.1856 ± 0.0320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0.1767 ± 0.0144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0.0117 ± 0.0069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0.1748 ± 0.0142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No-decay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0.0870 ± 0.0247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0.1793 ± 0.0158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0.0055 ± 0.0062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0.1774 ± 0.0157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No-gate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0.5917 ± 0.0548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0.1726 ± 0.0126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0.1028 ± 0.0190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0.1688 ± 0.0130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No-normalization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0.2284 ± 0.0414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0.1777 ± 0.0148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0.0175 ± 0.0123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0.1754 ± 0.0148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Unrefined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0.2014 ± 0.0298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0.1778 ± 0.0145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0.0150 ± 0.0086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0.1755 ± 0.0143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Full-EDE diagnostic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p=0.15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p=0.30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RBO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0.814 ± 0.009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0.835 ± 0.009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Kendall distance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0.040 ± 0.003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0.036 ± 0.002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Impression loss fraction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0.273 ± 0.043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0.249 ± 0.040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Query loss fraction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0.327 ± 0.052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0.308 ± 0.046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Worst query ΔNDCG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-0.157 ± 0.030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-0.144 ± 0.028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New exposure share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0.040 ± 0.005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0.002 ± 0.001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Promoted relevance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0.712 ± 0.017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0.729 ± 0.055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Promoted relevant fraction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0.201 ± 0.093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0.178 ± 0.250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Query-matched coverage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0.075 ± 0.019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0.007 ± 0.007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