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93B09" w14:textId="77777777" w:rsidR="00D56233" w:rsidRDefault="00D56233">
      <w:pPr>
        <w:widowControl w:val="0"/>
        <w:pBdr>
          <w:top w:val="nil"/>
          <w:left w:val="nil"/>
          <w:bottom w:val="nil"/>
          <w:right w:val="nil"/>
          <w:between w:val="nil"/>
        </w:pBdr>
      </w:pPr>
    </w:p>
    <w:p w14:paraId="1A8ACD45" w14:textId="77777777" w:rsidR="00D56233" w:rsidRDefault="00D56233">
      <w:pPr>
        <w:widowControl w:val="0"/>
        <w:pBdr>
          <w:top w:val="nil"/>
          <w:left w:val="nil"/>
          <w:bottom w:val="nil"/>
          <w:right w:val="nil"/>
          <w:between w:val="nil"/>
        </w:pBdr>
      </w:pPr>
    </w:p>
    <w:p w14:paraId="59F1936D" w14:textId="77777777" w:rsidR="00D56233" w:rsidRDefault="00D56233">
      <w:pPr>
        <w:widowControl w:val="0"/>
        <w:pBdr>
          <w:top w:val="nil"/>
          <w:left w:val="nil"/>
          <w:bottom w:val="nil"/>
          <w:right w:val="nil"/>
          <w:between w:val="nil"/>
        </w:pBdr>
      </w:pPr>
    </w:p>
    <w:p w14:paraId="23B1A1C1" w14:textId="77777777" w:rsidR="00D56233" w:rsidRDefault="00D56233">
      <w:pPr>
        <w:widowControl w:val="0"/>
        <w:pBdr>
          <w:top w:val="nil"/>
          <w:left w:val="nil"/>
          <w:bottom w:val="nil"/>
          <w:right w:val="nil"/>
          <w:between w:val="nil"/>
        </w:pBdr>
      </w:pPr>
    </w:p>
    <w:p w14:paraId="709724D4" w14:textId="77777777" w:rsidR="00D56233" w:rsidRDefault="00D56233">
      <w:pPr>
        <w:widowControl w:val="0"/>
        <w:pBdr>
          <w:top w:val="nil"/>
          <w:left w:val="nil"/>
          <w:bottom w:val="nil"/>
          <w:right w:val="nil"/>
          <w:between w:val="nil"/>
        </w:pBdr>
        <w:rPr>
          <w:rFonts w:ascii="Times" w:eastAsia="Times" w:hAnsi="Times" w:cs="Times"/>
        </w:rPr>
      </w:pPr>
    </w:p>
    <w:p w14:paraId="716CD04C" w14:textId="77777777" w:rsidR="00D56233" w:rsidRDefault="00D56233">
      <w:pPr>
        <w:widowControl w:val="0"/>
        <w:pBdr>
          <w:top w:val="nil"/>
          <w:left w:val="nil"/>
          <w:bottom w:val="nil"/>
          <w:right w:val="nil"/>
          <w:between w:val="nil"/>
        </w:pBdr>
        <w:rPr>
          <w:rFonts w:ascii="Times" w:eastAsia="Times" w:hAnsi="Times" w:cs="Times"/>
        </w:rPr>
      </w:pPr>
    </w:p>
    <w:p w14:paraId="767FFA67" w14:textId="77777777" w:rsidR="00D56233" w:rsidRDefault="00000000">
      <w:pPr>
        <w:pStyle w:val="Heading1"/>
        <w:keepLines w:val="0"/>
        <w:spacing w:before="240" w:after="60" w:line="240" w:lineRule="auto"/>
        <w:rPr>
          <w:rFonts w:ascii="Times" w:eastAsia="Times" w:hAnsi="Times" w:cs="Times"/>
          <w:sz w:val="24"/>
          <w:szCs w:val="24"/>
        </w:rPr>
      </w:pPr>
      <w:bookmarkStart w:id="0" w:name="_heading=h.ykqwsr1zavx1" w:colFirst="0" w:colLast="0"/>
      <w:bookmarkEnd w:id="0"/>
      <w:r>
        <w:rPr>
          <w:rFonts w:ascii="Times" w:eastAsia="Times" w:hAnsi="Times" w:cs="Times"/>
          <w:b/>
          <w:bCs/>
          <w:sz w:val="32"/>
          <w:szCs w:val="32"/>
        </w:rPr>
        <w:t>Entropy-driven exploration for cold-start ranking with minimal-disruption constraints</w:t>
      </w:r>
    </w:p>
    <w:p w14:paraId="26B638EE" w14:textId="77777777" w:rsidR="00D56233" w:rsidRDefault="00D56233">
      <w:pPr>
        <w:rPr>
          <w:rFonts w:ascii="Times" w:eastAsia="Times" w:hAnsi="Times" w:cs="Times"/>
          <w:sz w:val="24"/>
          <w:szCs w:val="24"/>
        </w:rPr>
      </w:pPr>
    </w:p>
    <w:p w14:paraId="37B2D183" w14:textId="77777777" w:rsidR="00D56233" w:rsidRDefault="00000000">
      <w:pPr>
        <w:rPr>
          <w:rFonts w:ascii="Times" w:eastAsia="Times" w:hAnsi="Times" w:cs="Times"/>
          <w:sz w:val="24"/>
          <w:szCs w:val="24"/>
        </w:rPr>
      </w:pPr>
      <w:r>
        <w:rPr>
          <w:rFonts w:ascii="Times" w:eastAsia="Times" w:hAnsi="Times" w:cs="Times"/>
          <w:sz w:val="24"/>
          <w:szCs w:val="24"/>
        </w:rPr>
        <w:t>Arun Morampudi</w:t>
      </w:r>
      <w:r>
        <w:rPr>
          <w:rFonts w:ascii="Times" w:eastAsia="Times" w:hAnsi="Times" w:cs="Times"/>
          <w:sz w:val="24"/>
          <w:szCs w:val="24"/>
          <w:vertAlign w:val="superscript"/>
        </w:rPr>
        <w:t>1</w:t>
      </w:r>
    </w:p>
    <w:p w14:paraId="621C5A44" w14:textId="77777777" w:rsidR="00D56233" w:rsidRDefault="00000000">
      <w:pPr>
        <w:rPr>
          <w:rFonts w:ascii="Times" w:eastAsia="Times" w:hAnsi="Times" w:cs="Times"/>
          <w:sz w:val="24"/>
          <w:szCs w:val="24"/>
          <w:vertAlign w:val="superscript"/>
        </w:rPr>
      </w:pPr>
      <w:r>
        <w:rPr>
          <w:rFonts w:ascii="Times" w:eastAsia="Times" w:hAnsi="Times" w:cs="Times"/>
          <w:sz w:val="24"/>
          <w:szCs w:val="24"/>
        </w:rPr>
        <w:t>Ujval Sai Gopal Irrinki</w:t>
      </w:r>
      <w:r>
        <w:rPr>
          <w:rFonts w:ascii="Times" w:eastAsia="Times" w:hAnsi="Times" w:cs="Times"/>
          <w:sz w:val="24"/>
          <w:szCs w:val="24"/>
          <w:vertAlign w:val="superscript"/>
        </w:rPr>
        <w:t>2</w:t>
      </w:r>
    </w:p>
    <w:p w14:paraId="74BFCE13" w14:textId="77777777" w:rsidR="00D56233" w:rsidRDefault="00D56233">
      <w:pPr>
        <w:rPr>
          <w:rFonts w:ascii="Times" w:eastAsia="Times" w:hAnsi="Times" w:cs="Times"/>
          <w:sz w:val="24"/>
          <w:szCs w:val="24"/>
          <w:vertAlign w:val="superscript"/>
        </w:rPr>
      </w:pPr>
    </w:p>
    <w:p w14:paraId="7D5193E7" w14:textId="77777777" w:rsidR="00D56233" w:rsidRDefault="00000000">
      <w:pPr>
        <w:rPr>
          <w:rFonts w:ascii="Times" w:eastAsia="Times" w:hAnsi="Times" w:cs="Times"/>
          <w:sz w:val="24"/>
          <w:szCs w:val="24"/>
        </w:rPr>
      </w:pPr>
      <w:r>
        <w:rPr>
          <w:rFonts w:ascii="Times" w:eastAsia="Times" w:hAnsi="Times" w:cs="Times"/>
          <w:sz w:val="24"/>
          <w:szCs w:val="24"/>
        </w:rPr>
        <w:t>Independent Researcher, Duluth, Georgia, USA</w:t>
      </w:r>
    </w:p>
    <w:p w14:paraId="3DA3FF6D" w14:textId="77777777" w:rsidR="00D56233" w:rsidRDefault="00000000">
      <w:pPr>
        <w:rPr>
          <w:rFonts w:ascii="Times" w:eastAsia="Times" w:hAnsi="Times" w:cs="Times"/>
          <w:sz w:val="24"/>
          <w:szCs w:val="24"/>
        </w:rPr>
      </w:pPr>
      <w:r>
        <w:rPr>
          <w:rFonts w:ascii="Times" w:eastAsia="Times" w:hAnsi="Times" w:cs="Times"/>
          <w:sz w:val="24"/>
          <w:szCs w:val="24"/>
        </w:rPr>
        <w:t>Independent Researcher, Austin, Texas, USA</w:t>
      </w:r>
    </w:p>
    <w:p w14:paraId="578AD1D6" w14:textId="77777777" w:rsidR="00D56233" w:rsidRDefault="00000000">
      <w:pPr>
        <w:rPr>
          <w:rFonts w:ascii="Times" w:eastAsia="Times" w:hAnsi="Times" w:cs="Times"/>
          <w:sz w:val="24"/>
          <w:szCs w:val="24"/>
        </w:rPr>
      </w:pPr>
      <w:r>
        <w:rPr>
          <w:rFonts w:ascii="Times" w:eastAsia="Times" w:hAnsi="Times" w:cs="Times"/>
          <w:sz w:val="24"/>
          <w:szCs w:val="24"/>
        </w:rPr>
        <w:t xml:space="preserve"> </w:t>
      </w:r>
    </w:p>
    <w:p w14:paraId="03A0E566" w14:textId="77777777" w:rsidR="00D56233" w:rsidRDefault="00000000">
      <w:pPr>
        <w:rPr>
          <w:rFonts w:ascii="Times" w:eastAsia="Times" w:hAnsi="Times" w:cs="Times"/>
          <w:sz w:val="24"/>
          <w:szCs w:val="24"/>
        </w:rPr>
      </w:pPr>
      <w:r>
        <w:rPr>
          <w:rFonts w:ascii="Times" w:eastAsia="Times" w:hAnsi="Times" w:cs="Times"/>
          <w:sz w:val="24"/>
          <w:szCs w:val="24"/>
        </w:rPr>
        <w:t>Corresponding Author:</w:t>
      </w:r>
    </w:p>
    <w:p w14:paraId="4E8D27AF" w14:textId="77777777" w:rsidR="00D56233" w:rsidRDefault="00000000">
      <w:pPr>
        <w:rPr>
          <w:rFonts w:ascii="Times" w:eastAsia="Times" w:hAnsi="Times" w:cs="Times"/>
          <w:sz w:val="24"/>
          <w:szCs w:val="24"/>
        </w:rPr>
      </w:pPr>
      <w:r>
        <w:rPr>
          <w:rFonts w:ascii="Times" w:eastAsia="Times" w:hAnsi="Times" w:cs="Times"/>
          <w:sz w:val="24"/>
          <w:szCs w:val="24"/>
        </w:rPr>
        <w:t>Arun Morampudi</w:t>
      </w:r>
      <w:r>
        <w:rPr>
          <w:rFonts w:ascii="Times" w:eastAsia="Times" w:hAnsi="Times" w:cs="Times"/>
          <w:sz w:val="24"/>
          <w:szCs w:val="24"/>
          <w:vertAlign w:val="superscript"/>
        </w:rPr>
        <w:t>1</w:t>
      </w:r>
    </w:p>
    <w:p w14:paraId="1838562B" w14:textId="77777777" w:rsidR="00D56233" w:rsidRDefault="00000000">
      <w:pPr>
        <w:rPr>
          <w:rFonts w:ascii="Times" w:eastAsia="Times" w:hAnsi="Times" w:cs="Times"/>
          <w:sz w:val="24"/>
          <w:szCs w:val="24"/>
        </w:rPr>
      </w:pPr>
      <w:r>
        <w:rPr>
          <w:rFonts w:ascii="Times" w:eastAsia="Times" w:hAnsi="Times" w:cs="Times"/>
          <w:sz w:val="24"/>
          <w:szCs w:val="24"/>
        </w:rPr>
        <w:t>Email address: morampudiarun@gmail.com</w:t>
      </w:r>
    </w:p>
    <w:p w14:paraId="444E712F" w14:textId="77777777" w:rsidR="00D56233" w:rsidRDefault="00D56233">
      <w:pPr>
        <w:spacing w:line="240" w:lineRule="auto"/>
        <w:rPr>
          <w:rFonts w:ascii="Times" w:eastAsia="Times" w:hAnsi="Times" w:cs="Times"/>
          <w:sz w:val="24"/>
          <w:szCs w:val="24"/>
        </w:rPr>
      </w:pPr>
    </w:p>
    <w:p w14:paraId="1058EF72" w14:textId="77777777" w:rsidR="00D56233" w:rsidRDefault="00000000">
      <w:pPr>
        <w:pStyle w:val="Heading1"/>
        <w:keepLines w:val="0"/>
        <w:spacing w:before="240" w:after="60" w:line="240" w:lineRule="auto"/>
        <w:rPr>
          <w:rFonts w:ascii="Times" w:eastAsia="Times" w:hAnsi="Times" w:cs="Times"/>
          <w:sz w:val="24"/>
          <w:szCs w:val="24"/>
        </w:rPr>
      </w:pPr>
      <w:bookmarkStart w:id="1" w:name="_heading=h.jd2ah2m50ze7" w:colFirst="0" w:colLast="0"/>
      <w:bookmarkEnd w:id="1"/>
      <w:r>
        <w:rPr>
          <w:rFonts w:ascii="Times" w:eastAsia="Times" w:hAnsi="Times" w:cs="Times"/>
          <w:b/>
          <w:bCs/>
          <w:sz w:val="32"/>
          <w:szCs w:val="32"/>
        </w:rPr>
        <w:t>Abstract</w:t>
      </w:r>
    </w:p>
    <w:p w14:paraId="3EE693F3" w14:textId="77777777" w:rsidR="00D56233" w:rsidRDefault="00000000">
      <w:pPr>
        <w:spacing w:line="240" w:lineRule="auto"/>
        <w:rPr>
          <w:rFonts w:ascii="Times" w:eastAsia="Times" w:hAnsi="Times" w:cs="Times"/>
          <w:sz w:val="24"/>
          <w:szCs w:val="24"/>
        </w:rPr>
      </w:pPr>
      <w:r>
        <w:rPr>
          <w:rFonts w:ascii="Times" w:eastAsia="Times" w:hAnsi="Times" w:cs="Times"/>
          <w:b/>
          <w:bCs/>
          <w:sz w:val="24"/>
          <w:szCs w:val="24"/>
        </w:rPr>
        <w:t>Objective.</w:t>
      </w:r>
      <w:r>
        <w:rPr>
          <w:rFonts w:ascii="Times" w:eastAsia="Times" w:hAnsi="Times" w:cs="Times"/>
          <w:sz w:val="24"/>
          <w:szCs w:val="24"/>
        </w:rPr>
        <w:t xml:space="preserve"> The cold-start exposure problem occurs when new or recently updated documents lack interaction history, leading to under-ranking and delayed discovery. We aim to improve the discovery of relevant new documents while maintaining overall ranking quality within a small, controlled degradation budget.</w:t>
      </w:r>
    </w:p>
    <w:p w14:paraId="2EC69936" w14:textId="448779BD" w:rsidR="00D56233" w:rsidRDefault="00000000">
      <w:pPr>
        <w:spacing w:line="240" w:lineRule="auto"/>
        <w:rPr>
          <w:rFonts w:ascii="Times" w:eastAsia="Times" w:hAnsi="Times" w:cs="Times"/>
          <w:sz w:val="24"/>
          <w:szCs w:val="24"/>
        </w:rPr>
      </w:pPr>
      <w:r>
        <w:rPr>
          <w:b/>
        </w:rPr>
        <w:t xml:space="preserve">Methods. </w:t>
      </w:r>
      <w:r>
        <w:t xml:space="preserve">We propose Entropy-Driven Exploration (EDE), a </w:t>
      </w:r>
      <w:r w:rsidR="00310C95">
        <w:t>lightweight-constrained</w:t>
      </w:r>
      <w:r>
        <w:t xml:space="preserve"> re-ranking policy layered on top of a fixed base ranker. EDE allocates exposure using a controlled exploration bonus derived from click entropy and novelty. To preserve the original top results, EDE maintains a safe prefix (fixed top results) and employs candidate gating to concentrate exploration within the tail of the ranked list. We evaluate EDE in a controlled simulator with independent validation and test seeds and subsequently conduct an offline replay analysis using Yandex search logs, incorporating acceptance filters including a click-preservation filter.</w:t>
      </w:r>
    </w:p>
    <w:p w14:paraId="13F06E7B" w14:textId="77777777" w:rsidR="00D56233" w:rsidRDefault="00000000">
      <w:pPr>
        <w:spacing w:line="240" w:lineRule="auto"/>
        <w:rPr>
          <w:rFonts w:ascii="Times" w:eastAsia="Times" w:hAnsi="Times" w:cs="Times"/>
          <w:sz w:val="24"/>
          <w:szCs w:val="24"/>
        </w:rPr>
      </w:pPr>
      <w:r>
        <w:rPr>
          <w:b/>
        </w:rPr>
        <w:t xml:space="preserve">Results. </w:t>
      </w:r>
      <w:r>
        <w:t>Simulation experiments show that EDE improves new-document discovery in some settings with small average ranking-quality losses. At penalty 0.15, EDE increased new-document coverage from 0.087 to 0.186, with a paired Normalized Discounted Cumulative Gain (NDCG@10) difference of −0.0026 (95% CI −0.0041 to −0.0011); novelty-only was competitive or stronger. Although public Yandex logs lack ground-truth cold-start labels for direct discovery measurement, the replay analysis measures displacement on logged candidates. Across 372,282 pages, exact-list acceptance was 93.611% and mean absolute document shift was 0.014919. Set and click preservation were 100% by construction on the ten logged candidates; this does not establish causal engagement effects or deployment safety.</w:t>
      </w:r>
    </w:p>
    <w:p w14:paraId="09CB3190" w14:textId="77777777" w:rsidR="00D56233" w:rsidRDefault="00000000">
      <w:pPr>
        <w:spacing w:line="240" w:lineRule="auto"/>
        <w:rPr>
          <w:rFonts w:ascii="Times" w:eastAsia="Times" w:hAnsi="Times" w:cs="Times"/>
          <w:sz w:val="24"/>
          <w:szCs w:val="24"/>
        </w:rPr>
      </w:pPr>
      <w:r>
        <w:rPr>
          <w:b/>
        </w:rPr>
        <w:t xml:space="preserve">Conclusion. </w:t>
      </w:r>
      <w:r>
        <w:t>EDE provides a constrained exploration layer for ranking systems, improving the discovery of relevant content within controlled settings while preserving the original top results. The results do not establish a consistent entropy advantage over novelty alone or guarantee overall ranking quality; replay supplies no real cold-start discovery evidence.</w:t>
      </w:r>
    </w:p>
    <w:p w14:paraId="533922B9" w14:textId="77777777" w:rsidR="00D56233" w:rsidRDefault="00000000">
      <w:pPr>
        <w:pStyle w:val="Heading1"/>
        <w:keepLines w:val="0"/>
        <w:spacing w:before="240" w:after="60" w:line="240" w:lineRule="auto"/>
        <w:rPr>
          <w:rFonts w:ascii="Times" w:eastAsia="Times" w:hAnsi="Times" w:cs="Times"/>
        </w:rPr>
      </w:pPr>
      <w:bookmarkStart w:id="2" w:name="_heading=h.wkkj1asfrrmm" w:colFirst="0" w:colLast="0"/>
      <w:bookmarkEnd w:id="2"/>
      <w:r>
        <w:rPr>
          <w:rFonts w:ascii="Times" w:eastAsia="Times" w:hAnsi="Times" w:cs="Times"/>
          <w:b/>
          <w:bCs/>
          <w:sz w:val="32"/>
          <w:szCs w:val="32"/>
        </w:rPr>
        <w:lastRenderedPageBreak/>
        <w:t>1. Introduction</w:t>
      </w:r>
    </w:p>
    <w:p w14:paraId="51F60300"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Modern ranking systems typically rely on offline-trained models that use past interactions (such as clicks, impressions, and purchases) to estimate relevance (Liu, 2009). As a result, these models tend to favor well-established items with abundant behavioral data, while newly introduced or recently updated documents often lack sufficient signals to rank well. This creates the cold-start problem: relevant new items are under-exposed, which in turn delays the collection of the very feedback needed to improve their ranking. In e-commerce and search settings, for example, new products frequently begin with little or no click history and are buried in lower-ranked positions, creating a self-reinforcing feedback loop in which limited exposure prevents signal accrual (Joachims et al., 2005; Gupta et al., 2020; Han et al., 2022; Morik et al., 2020; Mansoury et al., 2020). Cold-start under-exposure can reduce user satisfaction by failing to surface relevant new content, and it can also create provider-side inequities by systematically limiting the visibility of newly introduced items (Zhu et al., 2021; Singh &amp; Joachims, 2018).</w:t>
      </w:r>
    </w:p>
    <w:p w14:paraId="65DDF123" w14:textId="77777777" w:rsidR="00D56233" w:rsidRDefault="00D56233">
      <w:pPr>
        <w:spacing w:line="240" w:lineRule="auto"/>
        <w:rPr>
          <w:rFonts w:ascii="Times" w:eastAsia="Times" w:hAnsi="Times" w:cs="Times"/>
          <w:sz w:val="24"/>
          <w:szCs w:val="24"/>
        </w:rPr>
      </w:pPr>
    </w:p>
    <w:p w14:paraId="0E78B943"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Existing approaches to cold-start ranking generally fall into two broad categories: feature-based priors and online exploration. One line of work estimates synthetic priors for new items’ behavioral signals (for example, by inferring an initial click-through tendency from content or metadata) so that new items begin with a less severe ranking disadvantage. Gupta et al. (2020), for instance, introduced feature priors for new products to improve initial exposure, while Han et al. (2022) used an Empirical Bayes framework to estimate prior click probabilities for query-item pairs and update them as feedback accumulates. These methods improve early ranking by seeding new items with informative initial estimates. A second line of work treats ranking as an online learning problem, deliberately perturbing result lists to learn from user feedback through bandit-style exploration (Kveton et al., 2015; Lattimore et al., 2018). While these methods can improve long-term learning, they may also explore aggressively, potentially harming user experience by elevating insufficiently relevant items, or they may be difficult to deploy on top of an already-operational production ranker. BubbleRank (Li et al., 2020), for example, introduces a safety-aware online reranking mechanism by making gradual local swaps, illustrating the importance of constrained exploration.</w:t>
      </w:r>
    </w:p>
    <w:p w14:paraId="4868083F" w14:textId="77777777" w:rsidR="00D56233" w:rsidRDefault="00D56233">
      <w:pPr>
        <w:spacing w:line="240" w:lineRule="auto"/>
        <w:rPr>
          <w:rFonts w:ascii="Times" w:eastAsia="Times" w:hAnsi="Times" w:cs="Times"/>
          <w:sz w:val="24"/>
          <w:szCs w:val="24"/>
        </w:rPr>
      </w:pPr>
    </w:p>
    <w:p w14:paraId="5A11289C"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Here, we propose Entropy-Driven Exploration (EDE), a constrained reranking layer that operates on top of a fixed base ranker. Rather than replacing or retraining the underlying ranker, EDE is designed as a lightweight post-ranking control mechanism that introduces limited, targeted exploration while preserving high-confidence top results. EDE uses two signals for cold-start exploration: click entropy, which captures variability in recent, online-available click outcomes, and novelty, which favors items with limited exposure. By combining these signals, EDE allocates exposure toward low-exposure items, while using smooth exposure-dependent entropy weighting to avoid reacting too strongly to extremely sparse early feedback. Crucially, EDE enforces two explicit structural constraints: a safe prefix that preserves the top-m results from the base ranker, and a candidate-gating mechanism that restricts exploration to a controlled pool before items can enter higher-ranked positions. These constraints preserve the prefix but do not guarantee an NDCG bound.</w:t>
      </w:r>
    </w:p>
    <w:p w14:paraId="5F4FCCB3" w14:textId="77777777" w:rsidR="00D56233" w:rsidRDefault="00D56233">
      <w:pPr>
        <w:spacing w:line="240" w:lineRule="auto"/>
        <w:rPr>
          <w:rFonts w:ascii="Times" w:eastAsia="Times" w:hAnsi="Times" w:cs="Times"/>
          <w:sz w:val="24"/>
          <w:szCs w:val="24"/>
        </w:rPr>
      </w:pPr>
    </w:p>
    <w:p w14:paraId="136CDBAD"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EDE evaluates an empirical combination of click entropy, novelty, prefix preservation and candidate gating. EDE is designed for scenarios in which a production ranker already exists and only limited, structurally constrained intervention is acceptable. Our goal is not to replace bandit-</w:t>
      </w:r>
      <w:r>
        <w:rPr>
          <w:rFonts w:ascii="Times" w:eastAsia="Times" w:hAnsi="Times" w:cs="Times"/>
          <w:sz w:val="24"/>
          <w:szCs w:val="24"/>
        </w:rPr>
        <w:lastRenderedPageBreak/>
        <w:t>based ranking methods, but to provide a practical bridge between static production rankers and constrained cold-start exploration. Safe exploration of previously unranked items (Shiino et al., 2023) and exposure-based risk minimization (Gupta et al., 2023) overlap with this goal; EDE does not claim their guarantees.</w:t>
      </w:r>
    </w:p>
    <w:p w14:paraId="52343DDC" w14:textId="77777777" w:rsidR="00D56233" w:rsidRDefault="00D56233">
      <w:pPr>
        <w:spacing w:line="240" w:lineRule="auto"/>
        <w:rPr>
          <w:rFonts w:ascii="Times" w:eastAsia="Times" w:hAnsi="Times" w:cs="Times"/>
          <w:sz w:val="24"/>
          <w:szCs w:val="24"/>
        </w:rPr>
      </w:pPr>
    </w:p>
    <w:p w14:paraId="3935FBBC"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Our main contributions are as follows:</w:t>
      </w:r>
    </w:p>
    <w:p w14:paraId="67073AD4" w14:textId="77777777" w:rsidR="00D56233" w:rsidRDefault="00000000">
      <w:pPr>
        <w:numPr>
          <w:ilvl w:val="0"/>
          <w:numId w:val="1"/>
        </w:numPr>
        <w:spacing w:line="240" w:lineRule="auto"/>
        <w:rPr>
          <w:rFonts w:ascii="Times" w:eastAsia="Times" w:hAnsi="Times" w:cs="Times"/>
          <w:sz w:val="24"/>
          <w:szCs w:val="24"/>
        </w:rPr>
      </w:pPr>
      <w:r>
        <w:rPr>
          <w:rFonts w:ascii="Times" w:eastAsia="Times" w:hAnsi="Times" w:cs="Times"/>
          <w:sz w:val="24"/>
          <w:szCs w:val="24"/>
        </w:rPr>
        <w:t>We introduce EDE, a reranking layer for cold-start ranking that operates on top of a fixed base ranker and enforces minimal-disruption exploration through a safe prefix, candidate gating, and controlled tail reranking.</w:t>
      </w:r>
    </w:p>
    <w:p w14:paraId="1B68C78F" w14:textId="77777777" w:rsidR="00D56233" w:rsidRDefault="00000000">
      <w:pPr>
        <w:numPr>
          <w:ilvl w:val="0"/>
          <w:numId w:val="1"/>
        </w:numPr>
        <w:spacing w:line="240" w:lineRule="auto"/>
        <w:rPr>
          <w:rFonts w:ascii="Times" w:eastAsia="Times" w:hAnsi="Times" w:cs="Times"/>
          <w:sz w:val="24"/>
          <w:szCs w:val="24"/>
        </w:rPr>
      </w:pPr>
      <w:r>
        <w:rPr>
          <w:rFonts w:ascii="Times" w:eastAsia="Times" w:hAnsi="Times" w:cs="Times"/>
          <w:sz w:val="24"/>
          <w:szCs w:val="24"/>
        </w:rPr>
        <w:t>We propose an entropy- and novelty-aware exploration mechanism that combines normalized click entropy with exposure-based novelty decay to prioritize cold-start candidates without aggressive top-rank disruption.</w:t>
      </w:r>
    </w:p>
    <w:p w14:paraId="1DBC8C0C" w14:textId="77777777" w:rsidR="00D56233" w:rsidRDefault="00000000">
      <w:pPr>
        <w:numPr>
          <w:ilvl w:val="0"/>
          <w:numId w:val="1"/>
        </w:numPr>
        <w:spacing w:line="240" w:lineRule="auto"/>
        <w:rPr>
          <w:rFonts w:ascii="Times" w:eastAsia="Times" w:hAnsi="Times" w:cs="Times"/>
          <w:sz w:val="24"/>
          <w:szCs w:val="24"/>
        </w:rPr>
      </w:pPr>
      <w:r>
        <w:rPr>
          <w:rFonts w:ascii="Times" w:eastAsia="Times" w:hAnsi="Times" w:cs="Times"/>
          <w:sz w:val="24"/>
          <w:szCs w:val="24"/>
        </w:rPr>
        <w:t>We evaluate EDE on a synthetic benchmark consisting of query/document embeddings, a noisy base ranker, and multiple click models. Within this framework, we systematically vary cold-start difficulty and evaluate new-document discovery and NDCG with independent validation and test seeds.</w:t>
      </w:r>
    </w:p>
    <w:p w14:paraId="65556CB1" w14:textId="77777777" w:rsidR="00D56233" w:rsidRDefault="00000000">
      <w:pPr>
        <w:numPr>
          <w:ilvl w:val="0"/>
          <w:numId w:val="1"/>
        </w:numPr>
        <w:spacing w:line="240" w:lineRule="auto"/>
        <w:rPr>
          <w:rFonts w:ascii="Times" w:eastAsia="Times" w:hAnsi="Times" w:cs="Times"/>
          <w:sz w:val="24"/>
          <w:szCs w:val="24"/>
        </w:rPr>
      </w:pPr>
      <w:r>
        <w:rPr>
          <w:rFonts w:ascii="Times" w:eastAsia="Times" w:hAnsi="Times" w:cs="Times"/>
          <w:sz w:val="24"/>
          <w:szCs w:val="24"/>
        </w:rPr>
        <w:t>We perform an offline replay analysis using Yandex search logs (Yandex, 2013), measuring displacement on logged candidates, without ground-truth cold-start labels or causal engagement estimates.</w:t>
      </w:r>
    </w:p>
    <w:p w14:paraId="1937B552" w14:textId="77777777" w:rsidR="00D56233" w:rsidRDefault="00D56233">
      <w:pPr>
        <w:spacing w:line="240" w:lineRule="auto"/>
        <w:rPr>
          <w:rFonts w:ascii="Times" w:eastAsia="Times" w:hAnsi="Times" w:cs="Times"/>
          <w:sz w:val="24"/>
          <w:szCs w:val="24"/>
        </w:rPr>
      </w:pPr>
    </w:p>
    <w:p w14:paraId="0933B74D" w14:textId="77777777" w:rsidR="00D56233" w:rsidRDefault="00D56233">
      <w:pPr>
        <w:spacing w:line="240" w:lineRule="auto"/>
        <w:rPr>
          <w:rFonts w:ascii="Times" w:eastAsia="Times" w:hAnsi="Times" w:cs="Times"/>
          <w:sz w:val="24"/>
          <w:szCs w:val="24"/>
        </w:rPr>
      </w:pPr>
    </w:p>
    <w:p w14:paraId="200BB468" w14:textId="77777777" w:rsidR="00D56233" w:rsidRDefault="00000000">
      <w:pPr>
        <w:spacing w:line="240" w:lineRule="auto"/>
        <w:rPr>
          <w:rFonts w:ascii="Times" w:eastAsia="Times" w:hAnsi="Times" w:cs="Times"/>
          <w:b/>
          <w:bCs/>
          <w:sz w:val="32"/>
          <w:szCs w:val="32"/>
        </w:rPr>
      </w:pPr>
      <w:r>
        <w:rPr>
          <w:rFonts w:ascii="Times" w:eastAsia="Times" w:hAnsi="Times" w:cs="Times"/>
          <w:b/>
          <w:bCs/>
          <w:sz w:val="32"/>
          <w:szCs w:val="32"/>
        </w:rPr>
        <w:t>2. Related Work</w:t>
      </w:r>
    </w:p>
    <w:p w14:paraId="7C14AC6E" w14:textId="101C0DD9"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The cold-start problem has been extensively studied within </w:t>
      </w:r>
      <w:r w:rsidR="00310C95">
        <w:rPr>
          <w:rFonts w:ascii="Times" w:eastAsia="Times" w:hAnsi="Times" w:cs="Times"/>
          <w:sz w:val="24"/>
          <w:szCs w:val="24"/>
        </w:rPr>
        <w:t>recommenders</w:t>
      </w:r>
      <w:r>
        <w:rPr>
          <w:rFonts w:ascii="Times" w:eastAsia="Times" w:hAnsi="Times" w:cs="Times"/>
          <w:sz w:val="24"/>
          <w:szCs w:val="24"/>
        </w:rPr>
        <w:t xml:space="preserve"> and search systems (Schein et al., 2002). In learning-to-rank for product search, new items typically lack behavioral data, resulting in lower rankings (Gupta et al., 2020; Han et al., 2022). Approaches to mitigate this include incorporating prior values for new items’ behavior signals, which introduces exploration by boosting their scores based on content or historical data. Within recommender fairness literature, Zhu et al. (2021) formalized cold-start fairness and proposed post-processing techniques to equalize exposure of new items, noting that new-item bias persists beyond recency, such as through content biases. Broader ranking-fairness research also formalizes exposure as a key resource and investigates constraints and allocations designed to prevent systematic skew (Singh &amp; Joachims, 2018).</w:t>
      </w:r>
    </w:p>
    <w:p w14:paraId="4027F012" w14:textId="77777777" w:rsidR="00D56233" w:rsidRDefault="00D56233">
      <w:pPr>
        <w:spacing w:line="240" w:lineRule="auto"/>
        <w:rPr>
          <w:rFonts w:ascii="Times" w:eastAsia="Times" w:hAnsi="Times" w:cs="Times"/>
          <w:sz w:val="24"/>
          <w:szCs w:val="24"/>
        </w:rPr>
      </w:pPr>
    </w:p>
    <w:p w14:paraId="5731C2F8" w14:textId="71FD736B"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In online learning-to-rank, numerous algorithms utilize multi-armed bandit frameworks (Auer et al., 2002) coupled with click models. For instance, Cascading Bandits employs a cascade click model and provides theoretical guarantees for learning to rank under this interaction pattern (Kveton et al., 2015). TopRank proposes a practical algorithm for online stochastic ranking under a generalized click model and demonstrates strong empirical performance (Lattimore et al., 2018). These “click-model-based” bandits enhance rankings through online </w:t>
      </w:r>
      <w:r w:rsidR="00310C95">
        <w:rPr>
          <w:rFonts w:ascii="Times" w:eastAsia="Times" w:hAnsi="Times" w:cs="Times"/>
          <w:sz w:val="24"/>
          <w:szCs w:val="24"/>
        </w:rPr>
        <w:t>exploration but</w:t>
      </w:r>
      <w:r>
        <w:rPr>
          <w:rFonts w:ascii="Times" w:eastAsia="Times" w:hAnsi="Times" w:cs="Times"/>
          <w:sz w:val="24"/>
          <w:szCs w:val="24"/>
        </w:rPr>
        <w:t xml:space="preserve"> guarantees depend on their feedback and click-model assumptions. BubbleRank mitigates this issue by only swapping items with closely ranked neighbors, thereby constraining local exploration around the initial base list while learning from implicit click feedback (Li et al., 2020). Our EDE approach shares the underlying principle of safe re-ranking–specifically, improving upon a warm-start ranker–but utilizes a different criterion, namely click entropy and novelty, rather than pairwise upper confidence bounds (UCB). Relatedly, diversification methods introduce variety into result lists–for example, by injecting novel aspects or items–to trade </w:t>
      </w:r>
      <w:r>
        <w:rPr>
          <w:rFonts w:ascii="Times" w:eastAsia="Times" w:hAnsi="Times" w:cs="Times"/>
          <w:sz w:val="24"/>
          <w:szCs w:val="24"/>
        </w:rPr>
        <w:lastRenderedPageBreak/>
        <w:t>relevance for coverage (Carbonell &amp; Goldstein, 1998; Agrawal et al., 2009; Santos et al., 2010); nevertheless, these methods often do not explicitly incorporate click uncertainty signals and may not enforce a quality budget.</w:t>
      </w:r>
    </w:p>
    <w:p w14:paraId="2B119B88" w14:textId="77777777" w:rsidR="00D56233" w:rsidRDefault="00D56233">
      <w:pPr>
        <w:spacing w:line="240" w:lineRule="auto"/>
        <w:rPr>
          <w:rFonts w:ascii="Times" w:eastAsia="Times" w:hAnsi="Times" w:cs="Times"/>
          <w:sz w:val="24"/>
          <w:szCs w:val="24"/>
        </w:rPr>
      </w:pPr>
    </w:p>
    <w:p w14:paraId="5D887869" w14:textId="77777777" w:rsidR="00D56233" w:rsidRDefault="00000000">
      <w:r>
        <w:t>Shiino et al. (2023) connect cold-start and safe exploration by selecting previously unranked items with KL-UCB; BubbleRank learns pairwise preferences, whereas EDE uses aggregate document counters and guarantees only prefix preservation. Exposure constraints target allocation (Singh &amp; Joachims, 2018), and diversification targets redundancy or aspects; EDE has neither a provider-group target nor a diversity objective. Item-centric exploration selects audiences for new items (Wang et al., 2025), whereas EDE reranks for a selected query. Stateful cascading reinforcement learning (Du et al., 2024) differs from our prescribed cascade click generator.</w:t>
      </w:r>
    </w:p>
    <w:p w14:paraId="57804356" w14:textId="7EAB53D1" w:rsidR="00D56233" w:rsidRDefault="00000000">
      <w:r>
        <w:t xml:space="preserve">Counterfactual learning-to-rank corrects biased feedback using logging propensities (Swaminathan &amp; Joachims, 2015; Agarwal et al., 2019); intervention harvesting estimates examination effects from ranking variation (Fang et al., 2019). Gupta et al. (2023) regularize exposure mismatch to reduce risk. </w:t>
      </w:r>
      <w:r w:rsidR="00310C95">
        <w:t>Our unweighted replay lacks propensities and a reward model</w:t>
      </w:r>
      <w:r>
        <w:t xml:space="preserve"> so cannot provide these guarantees or doubly robust estimates.</w:t>
      </w:r>
    </w:p>
    <w:p w14:paraId="6EA4295C"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In summary, prior work has addressed the cold-start problem using methods such as feature-based priors, explicit exploration, and safe online ranking via constrained bandits (Gupta et al., 2020; Li et al., 2020). Our work differs by focusing on a lightweight re-ranking layer that can be added on top of an existing base ranker, rather than replacing it with a fully online learning system. EDE combines click entropy, exposure-based novelty, and explicit structural constraints, including a protected prefix and candidate gating. This design allows limited exploration of new items while preserving high-confidence top results. We test discovery in simulation and displacement in replay. Click entropy can reflect mixed intent, position bias or noise; it is not an estimate of epistemic relevance uncertainty.</w:t>
      </w:r>
    </w:p>
    <w:p w14:paraId="2AD39693" w14:textId="77777777" w:rsidR="00D56233" w:rsidRDefault="00000000">
      <w:pPr>
        <w:pStyle w:val="Heading1"/>
        <w:keepLines w:val="0"/>
        <w:spacing w:before="240" w:after="60" w:line="240" w:lineRule="auto"/>
        <w:rPr>
          <w:rFonts w:ascii="Times" w:eastAsia="Times" w:hAnsi="Times" w:cs="Times"/>
          <w:b/>
          <w:bCs/>
          <w:sz w:val="32"/>
          <w:szCs w:val="32"/>
        </w:rPr>
      </w:pPr>
      <w:bookmarkStart w:id="3" w:name="_heading=h.i8awowt30v4d" w:colFirst="0" w:colLast="0"/>
      <w:bookmarkEnd w:id="3"/>
      <w:r>
        <w:rPr>
          <w:rFonts w:ascii="Times" w:eastAsia="Times" w:hAnsi="Times" w:cs="Times"/>
          <w:b/>
          <w:bCs/>
          <w:sz w:val="32"/>
          <w:szCs w:val="32"/>
        </w:rPr>
        <w:t>3. Materials and Methods</w:t>
      </w:r>
    </w:p>
    <w:p w14:paraId="12444B77" w14:textId="77777777" w:rsidR="00D56233" w:rsidRDefault="00000000">
      <w:r>
        <w:t>We describe the simulator, policy and evaluation below. Simulation supplies the direct cold-start evidence; replay measures displacement on logged candidates.</w:t>
      </w:r>
    </w:p>
    <w:p w14:paraId="610FC156"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4" w:name="_heading=h.d3vi9qryuhmm" w:colFirst="0" w:colLast="0"/>
      <w:bookmarkEnd w:id="4"/>
      <w:r>
        <w:rPr>
          <w:rFonts w:ascii="Times" w:eastAsia="Times" w:hAnsi="Times" w:cs="Times"/>
          <w:b/>
          <w:bCs/>
          <w:color w:val="000000"/>
          <w:sz w:val="26"/>
          <w:szCs w:val="26"/>
        </w:rPr>
        <w:t>3.1. Simulation Environment</w:t>
      </w:r>
    </w:p>
    <w:p w14:paraId="3478E76B" w14:textId="0FAB2D1E"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We constructed a synthetic search simulator to evaluate EDE. Each query-document pair was assigned a continuous relevance score, derived from the cosine similarity of normalized query and document embeddings, a standard approach in semantic matching (Huang et al., 2013), scaled to [0,1] as r=(1+cos(q,d))/2. To compute evaluation metrics such as NDCG, we also generated binary relevance labels by thresholding these continuous scores. Specifically, we selected a relevance threshold of 0.5 and adjusted the top and bottom items for each query to ensure exactly n_rel=10 relevant items per query, thereby stabilizing comparisons across random seeds. Each run uses 100 queries and 1,000 documents sampled independently in 16 dimensions from a standard normal distribution and normalized by their Euclidean norm plus 10⁻⁸. Removing the lowest relevant items or adding the highest nonrelevant items makes the adjusted labels effectively </w:t>
      </w:r>
      <w:r w:rsidR="00310C95">
        <w:rPr>
          <w:rFonts w:ascii="Times" w:eastAsia="Times" w:hAnsi="Times" w:cs="Times"/>
          <w:sz w:val="24"/>
          <w:szCs w:val="24"/>
        </w:rPr>
        <w:t>top ten</w:t>
      </w:r>
      <w:r>
        <w:rPr>
          <w:rFonts w:ascii="Times" w:eastAsia="Times" w:hAnsi="Times" w:cs="Times"/>
          <w:sz w:val="24"/>
          <w:szCs w:val="24"/>
        </w:rPr>
        <w:t xml:space="preserve"> relevance. A fixed-threshold condition without this adjustment tests naturally varying relevance counts (Section 3.4).</w:t>
      </w:r>
    </w:p>
    <w:p w14:paraId="1D52D248" w14:textId="77777777" w:rsidR="00D56233" w:rsidRDefault="00D56233">
      <w:pPr>
        <w:spacing w:line="240" w:lineRule="auto"/>
        <w:rPr>
          <w:rFonts w:ascii="Times" w:eastAsia="Times" w:hAnsi="Times" w:cs="Times"/>
          <w:sz w:val="24"/>
          <w:szCs w:val="24"/>
        </w:rPr>
      </w:pPr>
    </w:p>
    <w:p w14:paraId="0D59E8E7"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lastRenderedPageBreak/>
        <w:t>The corpus is split into older documents (available from t=0) and newer documents (introduced at time T₀=1,000). We explicitly mark the last n_new=200 docs in the corpus as new. New documents have no prior impressions or clicks at arrival, mimicking a cold-start scenario. We simulate a fixed base ranker by scoring each document with a noisy relevance score and a penalty p for new documents (Equation (1)). The horizon is T=2,000 query timesteps, with one query and ten displayed results per step. All available documents are retrieved; the legacy k=100 argument does not subsample them.</w:t>
      </w:r>
    </w:p>
    <w:p w14:paraId="4D48AA1A" w14:textId="77777777" w:rsidR="00D56233" w:rsidRDefault="00000000">
      <w:pPr>
        <w:spacing w:after="200" w:line="240" w:lineRule="auto"/>
        <w:jc w:val="center"/>
        <w:rPr>
          <w:rFonts w:ascii="Times" w:eastAsia="Times" w:hAnsi="Times" w:cs="Times"/>
          <w:sz w:val="24"/>
          <w:szCs w:val="24"/>
        </w:rPr>
      </w:pPr>
      <m:oMath>
        <m:sSub>
          <m:sSubPr>
            <m:ctrlPr>
              <w:rPr>
                <w:rFonts w:ascii="Times" w:eastAsia="Times" w:hAnsi="Times" w:cs="Times"/>
                <w:sz w:val="24"/>
                <w:szCs w:val="24"/>
              </w:rPr>
            </m:ctrlPr>
          </m:sSubPr>
          <m:e>
            <m:r>
              <w:rPr>
                <w:rFonts w:ascii="Times" w:eastAsia="Times" w:hAnsi="Times" w:cs="Times"/>
                <w:sz w:val="24"/>
                <w:szCs w:val="24"/>
              </w:rPr>
              <m:t>s</m:t>
            </m:r>
          </m:e>
          <m:sub>
            <m:r>
              <w:rPr>
                <w:rFonts w:ascii="Times" w:eastAsia="Times" w:hAnsi="Times" w:cs="Times"/>
                <w:sz w:val="24"/>
                <w:szCs w:val="24"/>
              </w:rPr>
              <m:t>0</m:t>
            </m:r>
          </m:sub>
        </m:sSub>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=true_relevance</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+ϵ-p 1[d is new], ϵ∼N</m:t>
        </m:r>
        <m:d>
          <m:dPr>
            <m:ctrlPr>
              <w:rPr>
                <w:rFonts w:ascii="Times" w:eastAsia="Times" w:hAnsi="Times" w:cs="Times"/>
                <w:sz w:val="24"/>
                <w:szCs w:val="24"/>
              </w:rPr>
            </m:ctrlPr>
          </m:dPr>
          <m:e>
            <m:r>
              <w:rPr>
                <w:rFonts w:ascii="Times" w:eastAsia="Times" w:hAnsi="Times" w:cs="Times"/>
                <w:sz w:val="24"/>
                <w:szCs w:val="24"/>
              </w:rPr>
              <m:t>0,</m:t>
            </m:r>
            <m:sSup>
              <m:sSupPr>
                <m:ctrlPr>
                  <w:rPr>
                    <w:rFonts w:ascii="Times" w:eastAsia="Times" w:hAnsi="Times" w:cs="Times"/>
                    <w:sz w:val="24"/>
                    <w:szCs w:val="24"/>
                  </w:rPr>
                </m:ctrlPr>
              </m:sSupPr>
              <m:e>
                <m:r>
                  <w:rPr>
                    <w:rFonts w:ascii="Times" w:eastAsia="Times" w:hAnsi="Times" w:cs="Times"/>
                    <w:sz w:val="24"/>
                    <w:szCs w:val="24"/>
                  </w:rPr>
                  <m:t>σ</m:t>
                </m:r>
              </m:e>
              <m:sup>
                <m:r>
                  <w:rPr>
                    <w:rFonts w:ascii="Times" w:eastAsia="Times" w:hAnsi="Times" w:cs="Times"/>
                    <w:sz w:val="24"/>
                    <w:szCs w:val="24"/>
                  </w:rPr>
                  <m:t>2</m:t>
                </m:r>
              </m:sup>
            </m:sSup>
          </m:e>
        </m:d>
        <m:r>
          <w:rPr>
            <w:rFonts w:ascii="Times" w:eastAsia="Times" w:hAnsi="Times" w:cs="Times"/>
            <w:sz w:val="24"/>
            <w:szCs w:val="24"/>
          </w:rPr>
          <m:t>,</m:t>
        </m:r>
      </m:oMath>
      <w:r>
        <w:t xml:space="preserve">   (1)</w:t>
      </w:r>
    </w:p>
    <w:p w14:paraId="77B28C85"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Noise ε is fixed per query to control variance (standard deviation σ=0.15; seed+query_index). Here true_relevance(d) is r(q,d) for the current query. This is a stationary noisy relevance model, not a trained LTR model. The same penalized base score is used for the baseline and EDE tail.</w:t>
      </w:r>
    </w:p>
    <w:p w14:paraId="17C5CBCC"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5" w:name="_heading=h.dmbh6aj67cup" w:colFirst="0" w:colLast="0"/>
      <w:bookmarkEnd w:id="5"/>
      <w:r>
        <w:rPr>
          <w:rFonts w:ascii="Times" w:eastAsia="Times" w:hAnsi="Times" w:cs="Times"/>
          <w:b/>
          <w:bCs/>
          <w:color w:val="000000"/>
          <w:sz w:val="26"/>
          <w:szCs w:val="26"/>
        </w:rPr>
        <w:t>3.2. Click Behavior Models</w:t>
      </w:r>
    </w:p>
    <w:p w14:paraId="1A27FFCB"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Users interact with result lists using standard click models (Chuklin et al., 2015). Our default model is a position-biased logistic model: the click probability at one-based position k for an item of relevance r is given by Equation (2), with a=3 and b=0.35:</w:t>
      </w:r>
    </w:p>
    <w:p w14:paraId="0B8CC872" w14:textId="77777777" w:rsidR="00D56233" w:rsidRDefault="00000000">
      <w:pPr>
        <w:spacing w:after="200" w:line="240" w:lineRule="auto"/>
        <w:jc w:val="center"/>
        <w:rPr>
          <w:rFonts w:ascii="Times" w:eastAsia="Times" w:hAnsi="Times" w:cs="Times"/>
          <w:sz w:val="24"/>
          <w:szCs w:val="24"/>
        </w:rPr>
      </w:pPr>
      <m:oMath>
        <m:r>
          <w:rPr>
            <w:rFonts w:ascii="Times" w:eastAsia="Times" w:hAnsi="Times" w:cs="Times"/>
            <w:sz w:val="24"/>
            <w:szCs w:val="24"/>
          </w:rPr>
          <m:t>P</m:t>
        </m:r>
        <m:d>
          <m:dPr>
            <m:ctrlPr>
              <w:rPr>
                <w:rFonts w:ascii="Times" w:eastAsia="Times" w:hAnsi="Times" w:cs="Times"/>
                <w:sz w:val="24"/>
                <w:szCs w:val="24"/>
              </w:rPr>
            </m:ctrlPr>
          </m:dPr>
          <m:e>
            <m:r>
              <w:rPr>
                <w:rFonts w:ascii="Times" w:eastAsia="Times" w:hAnsi="Times" w:cs="Times"/>
                <w:sz w:val="24"/>
                <w:szCs w:val="24"/>
              </w:rPr>
              <m:t>click∣r,k</m:t>
            </m:r>
          </m:e>
        </m:d>
        <m:r>
          <w:rPr>
            <w:rFonts w:ascii="Times" w:eastAsia="Times" w:hAnsi="Times" w:cs="Times"/>
            <w:sz w:val="24"/>
            <w:szCs w:val="24"/>
          </w:rPr>
          <m:t>=σ</m:t>
        </m:r>
        <m:d>
          <m:dPr>
            <m:ctrlPr>
              <w:rPr>
                <w:rFonts w:ascii="Times" w:eastAsia="Times" w:hAnsi="Times" w:cs="Times"/>
                <w:sz w:val="24"/>
                <w:szCs w:val="24"/>
              </w:rPr>
            </m:ctrlPr>
          </m:dPr>
          <m:e>
            <m:r>
              <w:rPr>
                <w:rFonts w:ascii="Times" w:eastAsia="Times" w:hAnsi="Times" w:cs="Times"/>
                <w:sz w:val="24"/>
                <w:szCs w:val="24"/>
              </w:rPr>
              <m:t>a</m:t>
            </m:r>
            <m:d>
              <m:dPr>
                <m:ctrlPr>
                  <w:rPr>
                    <w:rFonts w:ascii="Times" w:eastAsia="Times" w:hAnsi="Times" w:cs="Times"/>
                    <w:sz w:val="24"/>
                    <w:szCs w:val="24"/>
                  </w:rPr>
                </m:ctrlPr>
              </m:dPr>
              <m:e>
                <m:r>
                  <w:rPr>
                    <w:rFonts w:ascii="Times" w:eastAsia="Times" w:hAnsi="Times" w:cs="Times"/>
                    <w:sz w:val="24"/>
                    <w:szCs w:val="24"/>
                  </w:rPr>
                  <m:t>r-0.5</m:t>
                </m:r>
              </m:e>
            </m:d>
            <m:r>
              <w:rPr>
                <w:rFonts w:ascii="Times" w:eastAsia="Times" w:hAnsi="Times" w:cs="Times"/>
                <w:sz w:val="24"/>
                <w:szCs w:val="24"/>
              </w:rPr>
              <m:t>-b k</m:t>
            </m:r>
          </m:e>
        </m:d>
        <m:r>
          <w:rPr>
            <w:rFonts w:ascii="Times" w:eastAsia="Times" w:hAnsi="Times" w:cs="Times"/>
            <w:sz w:val="24"/>
            <w:szCs w:val="24"/>
          </w:rPr>
          <m:t>,</m:t>
        </m:r>
      </m:oMath>
      <w:r>
        <w:t xml:space="preserve">   (2)</w:t>
      </w:r>
    </w:p>
    <w:p w14:paraId="32F26BA5" w14:textId="0E418E2D"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Here a controls steepness and b </w:t>
      </w:r>
      <w:r w:rsidR="00310C95">
        <w:rPr>
          <w:rFonts w:ascii="Times" w:eastAsia="Times" w:hAnsi="Times" w:cs="Times"/>
          <w:sz w:val="24"/>
          <w:szCs w:val="24"/>
        </w:rPr>
        <w:t>capture</w:t>
      </w:r>
      <w:r>
        <w:rPr>
          <w:rFonts w:ascii="Times" w:eastAsia="Times" w:hAnsi="Times" w:cs="Times"/>
          <w:sz w:val="24"/>
          <w:szCs w:val="24"/>
        </w:rPr>
        <w:t xml:space="preserve"> position bias; σ(x)=1/(1+exp(−x)) is the logistic function. We also evaluated two robustness variants: a cascade model where users scan top-to-bottom and stop after a click with probability 0.8, allowing multiple clicks, and a noisy click model (with probability 0.1, replacing the click vector with one uniformly chosen clicked position). Each displayed position receives a Bernoulli trial; unexamined cascade positions are recorded as displayed nonclicks. This logistic model is not a factorized examination estimator, and its entropy is not </w:t>
      </w:r>
      <w:r w:rsidR="00310C95">
        <w:rPr>
          <w:rFonts w:ascii="Times" w:eastAsia="Times" w:hAnsi="Times" w:cs="Times"/>
          <w:sz w:val="24"/>
          <w:szCs w:val="24"/>
        </w:rPr>
        <w:t>unbiased,</w:t>
      </w:r>
      <w:r>
        <w:rPr>
          <w:rFonts w:ascii="Times" w:eastAsia="Times" w:hAnsi="Times" w:cs="Times"/>
          <w:sz w:val="24"/>
          <w:szCs w:val="24"/>
        </w:rPr>
        <w:t xml:space="preserve"> relevance uncertainty.</w:t>
      </w:r>
    </w:p>
    <w:p w14:paraId="1918758E" w14:textId="28A6AC76" w:rsidR="00D56233" w:rsidRDefault="00000000">
      <w:r>
        <w:t xml:space="preserve">Query, click, cascade-stop and policy choices use independent seed-derived streams, sharing query and click trial schedules across policies. Counters update after serving; delayed feedback postpones both counters by 50 timesteps but records first </w:t>
      </w:r>
      <w:r w:rsidR="00310C95">
        <w:t>click</w:t>
      </w:r>
      <w:r>
        <w:t xml:space="preserve"> at their event time.</w:t>
      </w:r>
    </w:p>
    <w:p w14:paraId="5A628F8B"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6" w:name="_heading=h.f8un4ms0aor0" w:colFirst="0" w:colLast="0"/>
      <w:bookmarkEnd w:id="6"/>
      <w:r>
        <w:rPr>
          <w:rFonts w:ascii="Times" w:eastAsia="Times" w:hAnsi="Times" w:cs="Times"/>
          <w:b/>
          <w:bCs/>
          <w:color w:val="000000"/>
          <w:sz w:val="26"/>
          <w:szCs w:val="26"/>
        </w:rPr>
        <w:t>3.3. EDE Reranking Policy</w:t>
      </w:r>
    </w:p>
    <w:p w14:paraId="1229A1DD"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EDE maintains per-document counters for impressions I(d) and clicks C(d), aggregated across queries, which are updated each time the document is displayed. EDE is intentionally designed as a constrained post-ranking layer rather than a replacement for the underlying ranker. The base model remains unchanged, and EDE only applies limited reranking within a gated candidate pool outside a protected top prefix. We estimate each document’s smoothed click-through probability using symmetric pseudocount smoothing, a standard technique for handling sparse categorical data (Manning et al., 2008), (with parameters α = 0.5 for smoothed entropy and α = 0 for “unsmoothed”). For α=0 and I=0, we define the probability in Equation (3) as 0.5:</w:t>
      </w:r>
    </w:p>
    <w:p w14:paraId="62335102" w14:textId="77777777" w:rsidR="00D56233" w:rsidRDefault="00D56233">
      <w:pPr>
        <w:spacing w:line="240" w:lineRule="auto"/>
        <w:rPr>
          <w:rFonts w:ascii="Times" w:eastAsia="Times" w:hAnsi="Times" w:cs="Times"/>
          <w:sz w:val="24"/>
          <w:szCs w:val="24"/>
        </w:rPr>
      </w:pPr>
    </w:p>
    <w:p w14:paraId="65B79CA1" w14:textId="77777777" w:rsidR="00D56233" w:rsidRDefault="00000000">
      <w:pPr>
        <w:spacing w:line="240" w:lineRule="auto"/>
        <w:jc w:val="center"/>
        <w:rPr>
          <w:rFonts w:ascii="Times" w:eastAsia="Times" w:hAnsi="Times" w:cs="Times"/>
          <w:sz w:val="24"/>
          <w:szCs w:val="24"/>
        </w:rPr>
      </w:pPr>
      <w:r>
        <w:rPr>
          <w:rFonts w:ascii="Times" w:eastAsia="Times" w:hAnsi="Times" w:cs="Times"/>
          <w:sz w:val="24"/>
          <w:szCs w:val="24"/>
        </w:rPr>
        <w:t xml:space="preserve"> </w:t>
      </w:r>
      <m:oMath>
        <m:acc>
          <m:accPr>
            <m:ctrlPr>
              <w:rPr>
                <w:rFonts w:ascii="Times" w:eastAsia="Times" w:hAnsi="Times" w:cs="Times"/>
                <w:sz w:val="24"/>
                <w:szCs w:val="24"/>
              </w:rPr>
            </m:ctrlPr>
          </m:accPr>
          <m:e>
            <m:r>
              <w:rPr>
                <w:rFonts w:ascii="Times" w:eastAsia="Times" w:hAnsi="Times" w:cs="Times"/>
                <w:sz w:val="24"/>
                <w:szCs w:val="24"/>
              </w:rPr>
              <m:t>p</m:t>
            </m:r>
          </m:e>
        </m:acc>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f>
          <m:fPr>
            <m:ctrlPr>
              <w:rPr>
                <w:rFonts w:ascii="Times" w:eastAsia="Times" w:hAnsi="Times" w:cs="Times"/>
                <w:sz w:val="24"/>
                <w:szCs w:val="24"/>
              </w:rPr>
            </m:ctrlPr>
          </m:fPr>
          <m:num>
            <m:r>
              <w:rPr>
                <w:rFonts w:ascii="Times" w:eastAsia="Times" w:hAnsi="Times" w:cs="Times"/>
                <w:sz w:val="24"/>
                <w:szCs w:val="24"/>
              </w:rPr>
              <m:t>C</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+α</m:t>
            </m:r>
          </m:num>
          <m:den>
            <m:r>
              <w:rPr>
                <w:rFonts w:ascii="Times" w:eastAsia="Times" w:hAnsi="Times" w:cs="Times"/>
                <w:sz w:val="24"/>
                <w:szCs w:val="24"/>
              </w:rPr>
              <m:t>I</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+2α</m:t>
            </m:r>
          </m:den>
        </m:f>
      </m:oMath>
      <w:r>
        <w:t xml:space="preserve">   (3)</w:t>
      </w:r>
    </w:p>
    <w:p w14:paraId="5000C3B3" w14:textId="77777777" w:rsidR="00D56233" w:rsidRDefault="00D56233">
      <w:pPr>
        <w:spacing w:line="240" w:lineRule="auto"/>
        <w:rPr>
          <w:rFonts w:ascii="Times" w:eastAsia="Times" w:hAnsi="Times" w:cs="Times"/>
          <w:sz w:val="24"/>
          <w:szCs w:val="24"/>
        </w:rPr>
      </w:pPr>
    </w:p>
    <w:p w14:paraId="4860837E"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From Equation (3) we compute binary entropy (Shannon, 1948), normalized with base-two logarithms to lie in [0,1] (Equation (4)).</w:t>
      </w:r>
    </w:p>
    <w:p w14:paraId="39A14DF8" w14:textId="77777777" w:rsidR="00D56233" w:rsidRDefault="00000000">
      <w:pPr>
        <w:jc w:val="center"/>
      </w:pPr>
      <m:oMath>
        <m:r>
          <w:rPr>
            <w:rFonts w:ascii="Cambria Math" w:hAnsi="Cambria Math"/>
          </w:rPr>
          <m:t xml:space="preserve">H(d) = −</m:t>
        </m:r>
        <m:acc>
          <m:accPr>
            <m:chr m:val="̂"/>
          </m:accPr>
          <m:e>
            <m:r>
              <w:rPr>
                <w:rFonts w:ascii="Cambria Math" w:hAnsi="Cambria Math"/>
              </w:rPr>
              <m:t xml:space="preserve">p</m:t>
            </m:r>
          </m:e>
        </m:acc>
        <m:r>
          <w:rPr>
            <w:rFonts w:ascii="Cambria Math" w:hAnsi="Cambria Math"/>
          </w:rPr>
          <m:t xml:space="preserve">(d)</m:t>
        </m:r>
        <m:sSub>
          <m:e>
            <m:r>
              <m:rPr>
                <m:sty m:val="p"/>
              </m:rPr>
              <w:rPr>
                <w:rFonts w:ascii="Cambria Math" w:hAnsi="Cambria Math"/>
              </w:rPr>
              <m:t xml:space="preserve">log</m:t>
            </m:r>
          </m:e>
          <m:sub>
            <m:r>
              <m:rPr>
                <m:sty m:val="p"/>
              </m:rPr>
              <w:rPr>
                <w:rFonts w:ascii="Cambria Math" w:hAnsi="Cambria Math"/>
              </w:rPr>
              <m:t xml:space="preserve">2</m:t>
            </m:r>
          </m:sub>
        </m:sSub>
        <m:acc>
          <m:accPr>
            <m:chr m:val="̂"/>
          </m:accPr>
          <m:e>
            <m:r>
              <w:rPr>
                <w:rFonts w:ascii="Cambria Math" w:hAnsi="Cambria Math"/>
              </w:rPr>
              <m:t xml:space="preserve">p</m:t>
            </m:r>
          </m:e>
        </m:acc>
        <m:r>
          <w:rPr>
            <w:rFonts w:ascii="Cambria Math" w:hAnsi="Cambria Math"/>
          </w:rPr>
          <m:t xml:space="preserve">(d)</m:t>
        </m:r>
        <m:r>
          <w:rPr>
            <w:rFonts w:ascii="Cambria Math" w:hAnsi="Cambria Math"/>
          </w:rPr>
          <m:t xml:space="preserve"> − [1 − </m:t>
        </m:r>
        <m:acc>
          <m:accPr>
            <m:chr m:val="̂"/>
          </m:accPr>
          <m:e>
            <m:r>
              <w:rPr>
                <w:rFonts w:ascii="Cambria Math" w:hAnsi="Cambria Math"/>
              </w:rPr>
              <m:t xml:space="preserve">p</m:t>
            </m:r>
          </m:e>
        </m:acc>
        <m:r>
          <w:rPr>
            <w:rFonts w:ascii="Cambria Math" w:hAnsi="Cambria Math"/>
          </w:rPr>
          <m:t xml:space="preserve">(d)</m:t>
        </m:r>
        <m:r>
          <w:rPr>
            <w:rFonts w:ascii="Cambria Math" w:hAnsi="Cambria Math"/>
          </w:rPr>
          <m:t xml:space="preserve">] </m:t>
        </m:r>
        <m:sSub>
          <m:e>
            <m:r>
              <m:rPr>
                <m:sty m:val="p"/>
              </m:rPr>
              <w:rPr>
                <w:rFonts w:ascii="Cambria Math" w:hAnsi="Cambria Math"/>
              </w:rPr>
              <m:t xml:space="preserve">log</m:t>
            </m:r>
          </m:e>
          <m:sub>
            <m:r>
              <m:rPr>
                <m:sty m:val="p"/>
              </m:rPr>
              <w:rPr>
                <w:rFonts w:ascii="Cambria Math" w:hAnsi="Cambria Math"/>
              </w:rPr>
              <m:t xml:space="preserve">2</m:t>
            </m:r>
          </m:sub>
        </m:sSub>
        <m:r>
          <w:rPr>
            <w:rFonts w:ascii="Cambria Math" w:hAnsi="Cambria Math"/>
          </w:rPr>
          <m:t xml:space="preserve">[1 − </m:t>
        </m:r>
        <m:acc>
          <m:accPr>
            <m:chr m:val="̂"/>
          </m:accPr>
          <m:e>
            <m:r>
              <w:rPr>
                <w:rFonts w:ascii="Cambria Math" w:hAnsi="Cambria Math"/>
              </w:rPr>
              <m:t xml:space="preserve">p</m:t>
            </m:r>
          </m:e>
        </m:acc>
        <m:r>
          <w:rPr>
            <w:rFonts w:ascii="Cambria Math" w:hAnsi="Cambria Math"/>
          </w:rPr>
          <m:t xml:space="preserve">(d)</m:t>
        </m:r>
        <m:r>
          <w:rPr>
            <w:rFonts w:ascii="Cambria Math" w:hAnsi="Cambria Math"/>
          </w:rPr>
          <m:t xml:space="preserve">]</m:t>
        </m:r>
      </m:oMath>
      <w:r>
        <w:t xml:space="preserve">    (4)</w:t>
      </w:r>
    </w:p>
    <w:p w14:paraId="7C38EAB9" w14:textId="77777777" w:rsidR="00D56233" w:rsidRDefault="00D56233">
      <w:pPr>
        <w:spacing w:line="240" w:lineRule="auto"/>
        <w:rPr>
          <w:rFonts w:ascii="Times" w:eastAsia="Times" w:hAnsi="Times" w:cs="Times"/>
          <w:sz w:val="24"/>
          <w:szCs w:val="24"/>
        </w:rPr>
      </w:pPr>
    </w:p>
    <w:p w14:paraId="2E91ADEC"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lastRenderedPageBreak/>
        <w:t xml:space="preserve">We then define two components: novelty and refined entropy. With exposure decay constant τ=50 impressions, novelty is N(d)=exp(−I(d)/τ), which is near 1 when I(d)≈0 (high novelty for unseen docs) and decays as I(d) grows. Refined entropy R(d) in Equation (5) effectively discounts entropy for very low-impression items (using the complementary weight 1−N(d)). </w:t>
      </w:r>
    </w:p>
    <w:p w14:paraId="25CA142C" w14:textId="77777777" w:rsidR="00D56233" w:rsidRDefault="00000000">
      <w:pPr>
        <w:jc w:val="center"/>
      </w:pPr>
      <m:oMath>
        <m:r>
          <w:rPr>
            <w:rFonts w:ascii="Cambria Math" w:hAnsi="Cambria Math"/>
          </w:rPr>
          <m:t xml:space="preserve">N(d) = </m:t>
        </m:r>
        <m:r>
          <m:rPr>
            <m:sty m:val="p"/>
          </m:rPr>
          <w:rPr>
            <w:rFonts w:ascii="Cambria Math" w:hAnsi="Cambria Math"/>
          </w:rPr>
          <m:t xml:space="preserve">exp</m:t>
        </m:r>
        <m:r>
          <w:rPr>
            <w:rFonts w:ascii="Cambria Math" w:hAnsi="Cambria Math"/>
          </w:rPr>
          <m:t xml:space="preserve">[</m:t>
        </m:r>
        <m:f>
          <m:num>
            <m:r>
              <w:rPr>
                <w:rFonts w:ascii="Cambria Math" w:hAnsi="Cambria Math"/>
              </w:rPr>
              <m:t xml:space="preserve">−I(d)</m:t>
            </m:r>
          </m:num>
          <m:den>
            <m:r>
              <w:rPr>
                <w:rFonts w:ascii="Cambria Math" w:hAnsi="Cambria Math"/>
              </w:rPr>
              <m:t xml:space="preserve">τ</m:t>
            </m:r>
          </m:den>
        </m:f>
        <m:r>
          <w:rPr>
            <w:rFonts w:ascii="Cambria Math" w:hAnsi="Cambria Math"/>
          </w:rPr>
          <m:t xml:space="preserve">],    R(d) = [1 − N(d)] H(d)</m:t>
        </m:r>
      </m:oMath>
      <w:r>
        <w:t xml:space="preserve">    (5)</w:t>
      </w:r>
    </w:p>
    <w:p w14:paraId="5474A2DE" w14:textId="77777777" w:rsidR="00D56233" w:rsidRDefault="00000000">
      <w:pPr>
        <w:spacing w:before="180" w:after="180" w:line="240" w:lineRule="auto"/>
        <w:rPr>
          <w:rFonts w:ascii="Times" w:eastAsia="Times" w:hAnsi="Times" w:cs="Times"/>
          <w:sz w:val="24"/>
          <w:szCs w:val="24"/>
        </w:rPr>
      </w:pPr>
      <w:r>
        <w:rPr>
          <w:rFonts w:ascii="Times" w:eastAsia="Times" w:hAnsi="Times" w:cs="Times"/>
          <w:sz w:val="24"/>
          <w:szCs w:val="24"/>
        </w:rPr>
        <w:t>Finally, we combine these with weight η: E(d) in Equation (6) is an exploration bonus in [0,1], where η=0.65 controls the novelty vs entropy emphasis.</w:t>
      </w:r>
    </w:p>
    <w:p w14:paraId="1998F20C" w14:textId="77777777" w:rsidR="00D56233" w:rsidRDefault="00000000">
      <w:pPr>
        <w:jc w:val="center"/>
      </w:pPr>
      <m:oMath>
        <m:r>
          <w:rPr>
            <w:rFonts w:ascii="Cambria Math" w:hAnsi="Cambria Math"/>
          </w:rPr>
          <m:t>E(d) = ηN(d) + (1-η)R(d)</m:t>
        </m:r>
      </m:oMath>
      <w:r>
        <w:t xml:space="preserve">    (6)</w:t>
      </w:r>
    </w:p>
    <w:p w14:paraId="1B8A7035" w14:textId="77777777" w:rsidR="00D56233" w:rsidRDefault="00D56233">
      <w:pPr>
        <w:spacing w:line="240" w:lineRule="auto"/>
        <w:rPr>
          <w:rFonts w:ascii="Times" w:eastAsia="Times" w:hAnsi="Times" w:cs="Times"/>
          <w:sz w:val="24"/>
          <w:szCs w:val="24"/>
        </w:rPr>
      </w:pPr>
    </w:p>
    <w:p w14:paraId="28FF5D6C" w14:textId="77777777" w:rsidR="00D56233" w:rsidRDefault="00000000">
      <w:r>
        <w:t>There is no discrete grace period: the refinement weight 1−exp(−I/50) is zero at zero impressions, approximately 0.095 at five and 0.632 at 50. Novelty applies to every low-exposure document, not only new arrivals.</w:t>
      </w:r>
    </w:p>
    <w:p w14:paraId="67AFCC9A"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To rank results, we first fix the top-m items from the original base ranker as a safe prefix. We fill a candidate set of size top_L=50 with the remaining highest-scoring documents under gate score g(d)=s₀(d)+ηN(d). Ties follow candidate order. For the remaining 10−m positions we re-rank by Equations (7) and (8):</w:t>
      </w:r>
    </w:p>
    <w:p w14:paraId="5E491E03" w14:textId="77777777" w:rsidR="00D56233" w:rsidRDefault="00000000">
      <w:pPr>
        <w:jc w:val="center"/>
      </w:pPr>
      <m:oMath>
        <m:sSub>
          <m:e>
            <m:r>
              <w:rPr>
                <w:rFonts w:ascii="Cambria Math" w:hAnsi="Cambria Math"/>
              </w:rPr>
              <m:t xml:space="preserve">s</m:t>
            </m:r>
          </m:e>
          <m:sub>
            <m:r>
              <m:rPr>
                <m:sty m:val="p"/>
              </m:rPr>
              <w:rPr>
                <w:rFonts w:ascii="Cambria Math" w:hAnsi="Cambria Math"/>
              </w:rPr>
              <m:t xml:space="preserve">norm</m:t>
            </m:r>
          </m:sub>
        </m:sSub>
        <m:r>
          <w:rPr>
            <w:rFonts w:ascii="Cambria Math" w:hAnsi="Cambria Math"/>
          </w:rPr>
          <m:t xml:space="preserve">(d) = 1 − </m:t>
        </m:r>
        <m:f>
          <m:num>
            <m:sSub>
              <m:e>
                <m:r>
                  <m:rPr>
                    <m:sty m:val="p"/>
                  </m:rPr>
                  <w:rPr>
                    <w:rFonts w:ascii="Cambria Math" w:hAnsi="Cambria Math"/>
                  </w:rPr>
                  <m:t xml:space="preserve">rank</m:t>
                </m:r>
              </m:e>
              <m:sub>
                <m:r>
                  <m:rPr>
                    <m:sty m:val="p"/>
                  </m:rPr>
                  <w:rPr>
                    <w:rFonts w:ascii="Cambria Math" w:hAnsi="Cambria Math"/>
                  </w:rPr>
                  <m:t xml:space="preserve">pool</m:t>
                </m:r>
              </m:sub>
            </m:sSub>
            <m:r>
              <w:rPr>
                <w:rFonts w:ascii="Cambria Math" w:hAnsi="Cambria Math"/>
              </w:rPr>
              <m:t xml:space="preserve">(d) − 1</m:t>
            </m:r>
          </m:num>
          <m:den>
            <m:r>
              <w:rPr>
                <w:rFonts w:ascii="Cambria Math" w:hAnsi="Cambria Math"/>
              </w:rPr>
              <m:t xml:space="preserve">M − 1</m:t>
            </m:r>
          </m:den>
        </m:f>
      </m:oMath>
      <w:r>
        <w:t xml:space="preserve">    (7)</w:t>
      </w:r>
    </w:p>
    <w:p w14:paraId="361152C6" w14:textId="77777777" w:rsidR="00D56233" w:rsidRDefault="00000000">
      <w:pPr>
        <w:jc w:val="center"/>
      </w:pPr>
      <m:oMath>
        <m:sSub>
          <m:e>
            <m:r>
              <w:rPr>
                <w:rFonts w:ascii="Cambria Math" w:hAnsi="Cambria Math"/>
              </w:rPr>
              <m:t xml:space="preserve">s</m:t>
            </m:r>
          </m:e>
          <m:sub>
            <m:r>
              <m:rPr>
                <m:sty m:val="p"/>
              </m:rPr>
              <w:rPr>
                <w:rFonts w:ascii="Cambria Math" w:hAnsi="Cambria Math"/>
              </w:rPr>
              <m:t xml:space="preserve">EDE</m:t>
            </m:r>
          </m:sub>
        </m:sSub>
        <m:r>
          <w:rPr>
            <w:rFonts w:ascii="Cambria Math" w:hAnsi="Cambria Math"/>
          </w:rPr>
          <m:t xml:space="preserve">(d) = </m:t>
        </m:r>
        <m:sSub>
          <m:e>
            <m:r>
              <w:rPr>
                <w:rFonts w:ascii="Cambria Math" w:hAnsi="Cambria Math"/>
              </w:rPr>
              <m:t xml:space="preserve">s</m:t>
            </m:r>
          </m:e>
          <m:sub>
            <m:r>
              <m:rPr>
                <m:sty m:val="p"/>
              </m:rPr>
              <w:rPr>
                <w:rFonts w:ascii="Cambria Math" w:hAnsi="Cambria Math"/>
              </w:rPr>
              <m:t xml:space="preserve">norm</m:t>
            </m:r>
          </m:sub>
        </m:sSub>
        <m:r>
          <w:rPr>
            <w:rFonts w:ascii="Cambria Math" w:hAnsi="Cambria Math"/>
          </w:rPr>
          <m:t xml:space="preserve">(d) + λE(d)</m:t>
        </m:r>
      </m:oMath>
      <w:r>
        <w:t xml:space="preserve">    (8)</w:t>
      </w:r>
    </w:p>
    <w:p w14:paraId="51A14F2B"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Here s_norm is a rank-normalized base score: rank_pool is one-based within the remaining pool of M=top_L−m documents (or fewer if unavailable); for M=1, s_norm=1. The scalar λ tunes exploration strength. If λ=0, EDE bypasses gating and returns the base ranking exactly. Our default parameters are λ=0.4, η=0.65, m=2, top_L=50, α=0.5, and τ=50 impressions. “Hard mode” denotes p&gt;0 applied before gating and retained in the tail; p=0 removes this penalty.</w:t>
      </w:r>
    </w:p>
    <w:p w14:paraId="7028506C"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7" w:name="_heading=h.z2dwe2wnalw9" w:colFirst="0" w:colLast="0"/>
      <w:bookmarkEnd w:id="7"/>
      <w:r>
        <w:rPr>
          <w:rFonts w:ascii="Times" w:eastAsia="Times" w:hAnsi="Times" w:cs="Times"/>
          <w:b/>
          <w:bCs/>
          <w:color w:val="000000"/>
          <w:sz w:val="26"/>
          <w:szCs w:val="26"/>
        </w:rPr>
        <w:t>3.4. Evaluation Metrics</w:t>
      </w:r>
    </w:p>
    <w:p w14:paraId="55A230D3"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We report standard ranking quality and cold-start discovery metrics. For quality we use NDCG@10 (Järvelin &amp; Kekäläinen, 2002). The ideal top ten uses binary relevance across the full corpus and may include unavailable items before arrival; post-arrival NDCG is also reported. For discovery, we measured: </w:t>
      </w:r>
    </w:p>
    <w:p w14:paraId="4A37F694" w14:textId="3771D5C4"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(i) new-doc coverage, defined as the fraction of new documents relevant to at least one query receiving at least one click before T; (ii) time-to-first-click (TTF), the number of query timesteps after arrival until the first click, with unclicked eligible documents assigned T−T₀=1,000 (lower values indicate better performance); and (iii) unique new docs shown, representing the number of distinct new documents appearing in the top-10 during the run. We also tracked the average fraction of new documents in the </w:t>
      </w:r>
      <w:r w:rsidR="00310C95">
        <w:rPr>
          <w:rFonts w:ascii="Times" w:eastAsia="Times" w:hAnsi="Times" w:cs="Times"/>
          <w:sz w:val="24"/>
          <w:szCs w:val="24"/>
        </w:rPr>
        <w:t>top 10</w:t>
      </w:r>
      <w:r>
        <w:rPr>
          <w:rFonts w:ascii="Times" w:eastAsia="Times" w:hAnsi="Times" w:cs="Times"/>
          <w:sz w:val="24"/>
          <w:szCs w:val="24"/>
        </w:rPr>
        <w:t xml:space="preserve"> as an exposure-budget proxy. All metrics are averaged over 20 test seeds, with results reported as mean ± sample standard deviation. TTF includes all eligible documents. Query-matched coverage additionally requires binary relevance one on the clicked query. CTR is clicks divided by displayed positions; age-based exposure does not measure provider-group fairness.</w:t>
      </w:r>
    </w:p>
    <w:p w14:paraId="5FFB6321" w14:textId="77777777" w:rsidR="00D56233" w:rsidRDefault="00000000">
      <w:r>
        <w:t xml:space="preserve">Post-arrival disruption metrics compare each served list with its base list: extrapolated rank-biased overlap (RBO; Webber et al., 2010; persistence 0.9), normalized Kendall discordance among shared documents, impression/query fractions with NDCG loss greater than 0.01, and minimum per-query mean </w:t>
      </w:r>
      <w:r>
        <w:lastRenderedPageBreak/>
        <w:t>ΔNDCG. We also report promoted new-item continuous/binary relevance, top-ten relevant fractions and discounted new-item exposure share.</w:t>
      </w:r>
    </w:p>
    <w:p w14:paraId="4A16E13F" w14:textId="77777777" w:rsidR="00D56233" w:rsidRDefault="00000000">
      <w:r>
        <w:t>Seed-level policy-minus-baseline differences use Student-t 95% intervals and paired two-sided t tests. Holm correction covers all nonbaseline test comparisons for coverage and NDCG across suites/conditions; other metrics are descriptive. Nominal CIs are not simultaneous bands. Per-seed values and all raw/adjusted p-values accompany the code.</w:t>
      </w:r>
    </w:p>
    <w:p w14:paraId="6ACC1C2E" w14:textId="77777777" w:rsidR="00D56233" w:rsidRDefault="00000000">
      <w:r>
        <w:t>We select λ from {0.1,0.2,0.3,0.4} on validation seeds 100–109 at p∈{0.15,0.30}, maximizing mean coverage gain subject to a paired 95% ΔNDCG lower bound of at least −0.01 at each penalty (fallback λ=0). Other defaults remain fixed. Test seeds 1000–1019 are disjoint from validation and the original seeds 0–19; headline results all use the selected λ and m=2.</w:t>
      </w:r>
    </w:p>
    <w:p w14:paraId="3361F8F0" w14:textId="1A375523" w:rsidR="00D56233" w:rsidRDefault="00000000">
      <w:r>
        <w:t xml:space="preserve">Scoring comparators share the prefix and gate: novelty-only uses N, entropy-only H, unrefined entropy ηN+(1−η)H, and recency the new-item indicator. UCB-style clips </w:t>
      </w:r>
      <m:oMath>
        <m:acc>
          <m:accPr>
            <m:chr m:val="̂"/>
          </m:accPr>
          <m:e>
            <m:r>
              <w:rPr>
                <w:rFonts w:ascii="Cambria Math" w:hAnsi="Cambria Math"/>
              </w:rPr>
              <m:t xml:space="preserve">p</m:t>
            </m:r>
          </m:e>
        </m:acc>
        <m:r>
          <w:rPr>
            <w:rFonts w:ascii="Cambria Math" w:hAnsi="Cambria Math"/>
          </w:rPr>
          <m:t xml:space="preserve"> + </m:t>
        </m:r>
        <m:rad>
          <m:radPr>
            <m:degHide m:val="1"/>
          </m:radPr>
          <m:deg/>
          <m:e>
            <m:f>
              <m:num>
                <m:r>
                  <w:rPr>
                    <w:rFonts w:ascii="Cambria Math" w:hAnsi="Cambria Math"/>
                  </w:rPr>
                  <m:t xml:space="preserve">2 </m:t>
                </m:r>
                <m:r>
                  <m:rPr>
                    <m:sty m:val="p"/>
                  </m:rPr>
                  <w:rPr>
                    <w:rFonts w:ascii="Cambria Math" w:hAnsi="Cambria Math"/>
                  </w:rPr>
                  <m:t xml:space="preserve">log</m:t>
                </m:r>
                <m:r>
                  <w:rPr>
                    <w:rFonts w:ascii="Cambria Math" w:hAnsi="Cambria Math"/>
                  </w:rPr>
                  <m:t xml:space="preserve">(</m:t>
                </m:r>
                <m:r>
                  <m:rPr>
                    <m:sty m:val="p"/>
                  </m:rPr>
                  <w:rPr>
                    <w:rFonts w:ascii="Cambria Math" w:hAnsi="Cambria Math"/>
                  </w:rPr>
                  <m:t xml:space="preserve">max</m:t>
                </m:r>
                <m:r>
                  <w:rPr>
                    <w:rFonts w:ascii="Cambria Math" w:hAnsi="Cambria Math"/>
                  </w:rPr>
                  <m:t xml:space="preserve">(2, ΣI))</m:t>
                </m:r>
              </m:num>
              <m:den>
                <m:r>
                  <w:rPr>
                    <w:rFonts w:ascii="Cambria Math" w:hAnsi="Cambria Math"/>
                  </w:rPr>
                  <m:t xml:space="preserve">I + 1</m:t>
                </m:r>
              </m:den>
            </m:f>
          </m:e>
        </m:rad>
      </m:oMath>
      <w:r>
        <w:t xml:space="preserve"> to [0,1]; Thompson draws Beta(C+1,I−C+1). Random injection swaps two pool items with probability 0.2; ε-greedy samples a remaining candidate with probability 0.2 per tail position. Local-swap exchanges disjoint neighbors when composite scores favor it; exposure-quota reserves one tail slot for an eligible new item if none </w:t>
      </w:r>
      <w:r w:rsidR="00310C95">
        <w:t>appears</w:t>
      </w:r>
      <w:r>
        <w:t>. These are heuristics, not full published safe-ranking algorithms; global click counters do not correct position bias.</w:t>
      </w:r>
    </w:p>
    <w:p w14:paraId="5097DC23" w14:textId="77777777" w:rsidR="00D56233" w:rsidRDefault="00000000">
      <w:r>
        <w:t>Penalties are {0,0.10,0.15,0.20,0.25,0.30,0.40,0.60,0.80}; sensitivity uses η∈{0.35,0.50,0.65,0.80,1.00}, m∈{1,2,3}, p∈{0.15,0.30,0.40}. Ablations set m=0 or α=0, remove gating or rank normalization, use unrefined entropy, or hold N=1 (removing decay and the complementary refinement weight). These interventions need not preserve the default constraints.</w:t>
      </w:r>
    </w:p>
    <w:p w14:paraId="6CE51975" w14:textId="71C9D127" w:rsidR="00D56233" w:rsidRDefault="00000000">
      <w:r>
        <w:t xml:space="preserve">Stress tests at p=0.30 use cascade/noisy clicks; b=0.8; query frequencies proportional to rank⁻¹·² with alternating b=0.15/0.8; navigational </w:t>
      </w:r>
      <w:r w:rsidR="00310C95">
        <w:t>top one</w:t>
      </w:r>
      <w:r>
        <w:t xml:space="preserve"> relevance with click logit 5(y−0.5)−0.35j; 1,000 uniform queries; 50-step delayed feedback; and varying relevance counts from r≥0.78 without adjustment. This threshold targets sparse labels. All conditions retain the frozen λ and the same 20 test seed identifiers.</w:t>
      </w:r>
    </w:p>
    <w:p w14:paraId="2C0E892D" w14:textId="77777777" w:rsidR="00D56233" w:rsidRDefault="00000000">
      <w:pPr>
        <w:pStyle w:val="Heading3"/>
        <w:keepLines w:val="0"/>
        <w:spacing w:before="240" w:after="60" w:line="240" w:lineRule="auto"/>
        <w:rPr>
          <w:rFonts w:ascii="Times" w:eastAsia="Times" w:hAnsi="Times" w:cs="Times"/>
          <w:b/>
          <w:bCs/>
        </w:rPr>
      </w:pPr>
      <w:bookmarkStart w:id="8" w:name="_heading=h.ygg8qv8ttdha" w:colFirst="0" w:colLast="0"/>
      <w:bookmarkEnd w:id="8"/>
      <w:r>
        <w:rPr>
          <w:rFonts w:ascii="Times" w:eastAsia="Times" w:hAnsi="Times" w:cs="Times"/>
          <w:b/>
          <w:bCs/>
          <w:color w:val="000000"/>
          <w:sz w:val="26"/>
          <w:szCs w:val="26"/>
        </w:rPr>
        <w:t>3.5. Reproducibility</w:t>
      </w:r>
    </w:p>
    <w:p w14:paraId="44B15DF0"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The full experimental framework, including the EDE reranking policy, simulation environment, and Yandex replay scripts, is available at https://doi.org/10.5281/zenodo.19242717 (original archive). The revised code and per-seed results require a new version-specific DOI before submission. The revision utilized Python 3.12.14, NumPy 1.26.4, SciPy 1.15.0, pandas 2.3.1 and Matplotlib 3.11.2; exact dependencies and reproduction commands accompany the code. To ensure statistical rigor, all simulation results were averaged over 20 deterministic seeds, and descriptive metrics for the real-data replay included bootstrap 95% confidence intervals. Synthetic data were generated, and Yandex Personalized Web Search Challenge logs (Yandex, 2013) were retrieved using the repository's utility scripts.</w:t>
      </w:r>
    </w:p>
    <w:p w14:paraId="636D8AD0" w14:textId="77777777" w:rsidR="00D56233" w:rsidRDefault="00000000">
      <w:r>
        <w:t>Replay uses the first 200,000 complete sessions in Yandex train.gz: a contiguous prefix, not a random sample or reconstruction of the historical 61,105-session selection. Its 372,282 pages each contain ten distinct documents; page/document identifiers map clicks, with test records and malformed pages excluded. The manifest records zero invalid pages and unmatched clicks. Events follow logged order: ranking uses prior counters, then logged impressions update counts and later clicks update the clicked document once per page. Logged order supplies rank-based scores; EDE uses binary entropy, m=2 and all ten candidates, without inferring unlogged items or birth dates.</w:t>
      </w:r>
    </w:p>
    <w:p w14:paraId="7C734A77" w14:textId="77777777" w:rsidR="00D56233" w:rsidRDefault="00000000">
      <w:r>
        <w:t xml:space="preserve">For logged list B, proposed list A and clicked set C, exact-match means A=B as ordered lists, set-match means set(A)=set(B), and click preservation means C⊆set(A), allowing changed clicked positions. The </w:t>
      </w:r>
      <w:r>
        <w:lastRenderedPageBreak/>
        <w:t>latter two always pass on ten-item support. We report all-page and accepted/rejected diagnostics. Mean-metric 95% CIs use 2,000 whole-session bootstrap resamples (seed 20260911). Fixed observed labels produce zero ΔCTR; click-NDCG changes are descriptive, not treatment effects or cold-start evidence.</w:t>
      </w:r>
    </w:p>
    <w:p w14:paraId="6DFCAF90"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9" w:name="_heading=h.ph9701gr79mo" w:colFirst="0" w:colLast="0"/>
      <w:bookmarkEnd w:id="9"/>
      <w:r>
        <w:rPr>
          <w:rFonts w:ascii="Times" w:eastAsia="Times" w:hAnsi="Times" w:cs="Times"/>
          <w:b/>
          <w:bCs/>
          <w:color w:val="000000"/>
          <w:sz w:val="26"/>
          <w:szCs w:val="26"/>
        </w:rPr>
        <w:t>3.6. Use of AI-assisted tools</w:t>
      </w:r>
    </w:p>
    <w:p w:rsidR="00000000" w:rsidDel="00000000" w:rsidP="00000000" w:rsidRDefault="00000000" w:rsidRPr="00000000" w14:paraId="0000004D">
      <w:pPr>
        <w:rPr>
          <w:rFonts w:ascii="Times" w:cs="Times" w:eastAsia="Times" w:hAnsi="Times"/>
          <w:sz w:val="24"/>
          <w:szCs w:val="24"/>
        </w:rPr>
      </w:pPr>
      <w:r w:rsidDel="00000000" w:rsidR="00000000" w:rsidRPr="00000000">
        <w:rPr>
          <w:rFonts w:ascii="Times" w:cs="Times" w:eastAsia="Times" w:hAnsi="Times"/>
          <w:sz w:val="24"/>
          <w:szCs w:val="24"/>
          <w:rtl w:val="0"/>
        </w:rPr>
        <w:t xml:space="preserve">During the preparation of this work, the authors utilized generative Artificial Intelligence (AI) technologies, specifically ChatGPT-5.2 and GitHub Copilot, to refine the manuscript’s clarity, grammar, and structural flow. Additionally, these tools provided limited assistance in generating and refactoring minor code components. Generative AI was not employed for dataset synthesis, result generation, or the compilation of the reference list, the latter of which underwent manual verification to ensure accuracy.</w:t>
      </w:r>
    </w:p>
    <w:p w14:paraId="10A2D753" w14:textId="77777777" w:rsidR="00D56233" w:rsidRDefault="00000000">
      <w:pPr>
        <w:pStyle w:val="Heading1"/>
        <w:keepLines w:val="0"/>
        <w:spacing w:before="240" w:after="60" w:line="240" w:lineRule="auto"/>
        <w:rPr>
          <w:rFonts w:ascii="Times" w:eastAsia="Times" w:hAnsi="Times" w:cs="Times"/>
        </w:rPr>
      </w:pPr>
      <w:bookmarkStart w:id="10" w:name="_heading=h.qiexqm9b92yf" w:colFirst="0" w:colLast="0"/>
      <w:bookmarkEnd w:id="10"/>
      <w:r>
        <w:rPr>
          <w:rFonts w:ascii="Times" w:eastAsia="Times" w:hAnsi="Times" w:cs="Times"/>
          <w:b/>
          <w:bCs/>
          <w:sz w:val="32"/>
          <w:szCs w:val="32"/>
        </w:rPr>
        <w:t>4. Results</w:t>
      </w:r>
    </w:p>
    <w:p w14:paraId="522B5721" w14:textId="77777777" w:rsidR="00D56233" w:rsidRDefault="00000000">
      <w:r>
        <w:t>We report corrected simulation results first, followed by replay diagnostics; all tables are supplied separately.</w:t>
      </w:r>
    </w:p>
    <w:p w14:paraId="63BA6DDE" w14:textId="77777777" w:rsidR="00D56233" w:rsidRDefault="00000000">
      <w:pPr>
        <w:pStyle w:val="Heading1"/>
        <w:keepLines w:val="0"/>
        <w:spacing w:before="240" w:after="60" w:line="240" w:lineRule="auto"/>
        <w:rPr>
          <w:rFonts w:ascii="Times" w:eastAsia="Times" w:hAnsi="Times" w:cs="Times"/>
          <w:sz w:val="24"/>
          <w:szCs w:val="24"/>
        </w:rPr>
      </w:pPr>
      <w:bookmarkStart w:id="11" w:name="_heading=h.jv3qbaiu444" w:colFirst="0" w:colLast="0"/>
      <w:bookmarkEnd w:id="11"/>
      <w:r>
        <w:rPr>
          <w:rFonts w:ascii="Times" w:eastAsia="Times" w:hAnsi="Times" w:cs="Times"/>
          <w:b/>
          <w:bCs/>
          <w:sz w:val="26"/>
          <w:szCs w:val="26"/>
        </w:rPr>
        <w:t>4.1. Operating-Point Sweep (Hard Mode)</w:t>
      </w:r>
    </w:p>
    <w:p w14:paraId="0215D889"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We first tuned λ (the exploration strength) to identify a practical operating region that balances improved cold-start discovery with average ranking-quality loss. In the hard cold-start mode (where a new-document penalty was applied before gating), the baseline (without exploration) yielded an NDCG@10 of 0.1793 ± 0.0158 and a coverage of 0.087 ± 0.025 at p=0.15 on held-out seeds. As shown in Table 1, we swept λ on independent validation seeds, requiring a paired 95% ΔNDCG interval lower bound of at least −0.01 at both validation penalties. The selected operating point (λ=0.4, η=0.65, m=2) achieved a held-out Δcoverage of +0.099 [95% CI +0.087, +0.110] and ΔNDCG of −0.0026 [−0.0041, −0.0011] at p=0.15. These results show that EDE can improve discovery in this setting with a small average ranking-quality loss, consistent with its role as a constrained re-ranking layer. The mean-quality rule does not guarantee quality for every query. Figure 2 illustrates the discovery-quality trade-off as λ varies. </w:t>
      </w:r>
    </w:p>
    <w:p w14:paraId="1B20AF0D"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12" w:name="_heading=h.2zpr5p2sjofi" w:colFirst="0" w:colLast="0"/>
      <w:bookmarkEnd w:id="12"/>
      <w:r>
        <w:rPr>
          <w:rFonts w:ascii="Times" w:eastAsia="Times" w:hAnsi="Times" w:cs="Times"/>
          <w:b/>
          <w:bCs/>
          <w:color w:val="000000"/>
          <w:sz w:val="26"/>
          <w:szCs w:val="26"/>
        </w:rPr>
        <w:t>4.2. Discovery across Difficulty Regimes</w:t>
      </w:r>
    </w:p>
    <w:p w14:paraId="4FE850CD"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Figure 1a plots new-doc coverage against penalty. Baseline discovery declines as penalties increase (from 0.087 at p=0.15 to 0.0055 at p=0.30), and EDE coverage also declines (0.186, 0.0117 and 0.0004 at p=0.15, 0.30 and 0.40). Figure 1b plots NDCG@10 against penalty, with paired ΔNDCG at p=0.30 of −0.0026 [95% CI −0.0041, −0.0011]. At p=0.15, EDE reduces time-to-first-click (TTF) for relevant new documents from 938.6 ± 18.6 to 884.1 ± 21.5 query timesteps after arrival. Unique new docs shown were 50.9 ± 6.8 versus 20.4 ± 3.4 for baseline; query-matched EDE coverage was 0.075 ± 0.019.</w:t>
      </w:r>
    </w:p>
    <w:p w14:paraId="1E70B978"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13" w:name="_heading=h.8nafsp8o6ib5" w:colFirst="0" w:colLast="0"/>
      <w:bookmarkEnd w:id="13"/>
      <w:r>
        <w:rPr>
          <w:rFonts w:ascii="Times" w:eastAsia="Times" w:hAnsi="Times" w:cs="Times"/>
          <w:b/>
          <w:bCs/>
          <w:color w:val="000000"/>
          <w:sz w:val="26"/>
          <w:szCs w:val="26"/>
        </w:rPr>
        <w:t>4.3. Baseline Comparisons</w:t>
      </w:r>
    </w:p>
    <w:p w14:paraId="6587E0C5"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We compared EDE against simple exploration baselines, including random injection and ε-greedy approaches (Sutton &amp; Barto, 2018), across a range of penalty settings. Table 2 adds novelty-only, entropy-only, recency, UCB-style, Thompson, local-swap and exposure-quota comparators. At </w:t>
      </w:r>
      <w:r>
        <w:rPr>
          <w:rFonts w:ascii="Times" w:eastAsia="Times" w:hAnsi="Times" w:cs="Times"/>
          <w:sz w:val="24"/>
          <w:szCs w:val="24"/>
        </w:rPr>
        <w:lastRenderedPageBreak/>
        <w:t>p=0.15, novelty-only coverage was 0.224 ± 0.044 versus 0.186 ± 0.032 for smoothed EDE (α=0.5). This comparison does not establish an additional discovery benefit from entropy.</w:t>
      </w:r>
    </w:p>
    <w:p w14:paraId="28C6DDE7"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14" w:name="_heading=h.tguszwle18c8" w:colFirst="0" w:colLast="0"/>
      <w:bookmarkEnd w:id="14"/>
      <w:r>
        <w:rPr>
          <w:rFonts w:ascii="Times" w:eastAsia="Times" w:hAnsi="Times" w:cs="Times"/>
          <w:b/>
          <w:bCs/>
          <w:color w:val="000000"/>
          <w:sz w:val="26"/>
          <w:szCs w:val="26"/>
        </w:rPr>
        <w:t>4.4. Sensitivity Analysis (η, m)</w:t>
      </w:r>
    </w:p>
    <w:p w14:paraId="703BB5D1"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We examined the effects of the novelty weight η and safe-prefix length m on performance. Table 3 consolidates coverage and NDCG@10 sensitivity at penalties 0.15 and 0.30 and adds 0.40; η extends through 0.80 and 1.00. Overall, higher values of η increased exploration, whereas larger values of m preserved more of the top ranks. These are held-out sensitivity results, not additional tuning. Table 4 reports component ablations and disruption diagnostics.</w:t>
      </w:r>
    </w:p>
    <w:p w14:paraId="3DBAF708" w14:textId="77777777" w:rsidR="00D56233" w:rsidRDefault="00000000">
      <w:r>
        <w:t>Table 4 also reports disruption and promoted-item relevance. At p=0.15, EDE’s RBO was 0.814 ± 0.009 and normalized shared-document Kendall distance was 0.040 ± 0.003. The fraction of post-arrival impressions with NDCG loss greater than 0.01 was 0.273 ± 0.043, and the worst observed query-mean ΔNDCG was −0.157 ± 0.030. Discounted new-document exposure share was 0.040 ± 0.005; promoted items had mean continuous relevance 0.712 ± 0.017 and binary query-relevance fraction 0.201 ± 0.093. Prefixes were preserved in every run, but tail losses remained.</w:t>
      </w:r>
    </w:p>
    <w:p w14:paraId="48A3BB28"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15" w:name="_heading=h.fd1o4yi18r0i" w:colFirst="0" w:colLast="0"/>
      <w:bookmarkEnd w:id="15"/>
      <w:r>
        <w:rPr>
          <w:rFonts w:ascii="Times" w:eastAsia="Times" w:hAnsi="Times" w:cs="Times"/>
          <w:b/>
          <w:bCs/>
          <w:color w:val="000000"/>
          <w:sz w:val="26"/>
          <w:szCs w:val="26"/>
        </w:rPr>
        <w:t>4.5. Click-Model Robustness</w:t>
      </w:r>
    </w:p>
    <w:p w14:paraId="4C4FD1C9"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To examine sensitivity to user behavior, we evaluated the policy under three distinct click models: position-biased (PBM), cascade, and noisy models. Figure 3 and Table 5 also test stronger position bias, heterogeneous query frequency/bias, navigational relevance, sparse queries, delayed feedback and naturally varying relevance counts. Outcomes depend on the condition and do not establish a universal robustness advantage; coverage denominators can differ between conditions.</w:t>
      </w:r>
    </w:p>
    <w:p w14:paraId="2D2FE735" w14:textId="77777777" w:rsidR="00D56233" w:rsidRDefault="00000000">
      <w:pPr>
        <w:pStyle w:val="Heading3"/>
        <w:keepLines w:val="0"/>
        <w:spacing w:before="240" w:after="60" w:line="240" w:lineRule="auto"/>
        <w:rPr>
          <w:rFonts w:ascii="Times" w:eastAsia="Times" w:hAnsi="Times" w:cs="Times"/>
          <w:b/>
          <w:bCs/>
          <w:color w:val="000000"/>
          <w:sz w:val="26"/>
          <w:szCs w:val="26"/>
        </w:rPr>
      </w:pPr>
      <w:bookmarkStart w:id="16" w:name="_heading=h.gi3upytkgt89" w:colFirst="0" w:colLast="0"/>
      <w:bookmarkEnd w:id="16"/>
      <w:r>
        <w:rPr>
          <w:rFonts w:ascii="Times" w:eastAsia="Times" w:hAnsi="Times" w:cs="Times"/>
          <w:b/>
          <w:bCs/>
          <w:color w:val="000000"/>
          <w:sz w:val="26"/>
          <w:szCs w:val="26"/>
        </w:rPr>
        <w:t>4.6. Real Click-Log Replay (Yandex Dataset)</w:t>
      </w:r>
    </w:p>
    <w:p w14:paraId="21C5B845"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Finally, we performed an offline replay using public Yandex click logs to measure displacement on logged candidates. Figure 4 and Table 6 report replay acceptance rates for 372,282 pages from 200,000 sessions: exact-list acceptance was 93.611% (348,498 pages), and set/click preservation was 100% by construction on the ten logged candidates. Mean changed positions per page were 0.149 [95% CI 0.147, 0.152], and mean absolute document shift was 0.014919 [0.014688, 0.015155]. These session-cluster bootstrap estimates measure neither cold-start discovery nor deployment safety.</w:t>
      </w:r>
    </w:p>
    <w:p w14:paraId="393AE4A4" w14:textId="77777777" w:rsidR="00D56233" w:rsidRDefault="00D56233">
      <w:pPr>
        <w:spacing w:line="240" w:lineRule="auto"/>
        <w:rPr>
          <w:rFonts w:ascii="Times" w:eastAsia="Times" w:hAnsi="Times" w:cs="Times"/>
          <w:sz w:val="24"/>
          <w:szCs w:val="24"/>
        </w:rPr>
      </w:pPr>
    </w:p>
    <w:p w14:paraId="23623C8D" w14:textId="0BF6D58F"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Ranking-change diagnostics distinguish exact-match accepted and rejected pages (Table 6). Set-match and click-preservation rejected buckets are empty, so their conditional means are undefined. Observed-label ΔCTR was exactly zero and the click-NDCG proxy difference was −0.000018 [95% CI −0.000023, −0.000013]; neither estimates live engagement.</w:t>
      </w:r>
      <w:r w:rsidR="00310C95">
        <w:rPr>
          <w:rFonts w:ascii="Times" w:eastAsia="Times" w:hAnsi="Times" w:cs="Times"/>
          <w:sz w:val="24"/>
          <w:szCs w:val="24"/>
        </w:rPr>
        <w:t/>
      </w:r>
      <w:r>
        <w:rPr>
          <w:rFonts w:ascii="Times" w:eastAsia="Times" w:hAnsi="Times" w:cs="Times"/>
          <w:sz w:val="24"/>
          <w:szCs w:val="24"/>
        </w:rPr>
        <w:t xml:space="preserve"/>
      </w:r>
    </w:p>
    <w:p w14:paraId="0AB99FF4" w14:textId="77777777" w:rsidR="00D56233" w:rsidRDefault="00000000">
      <w:pPr>
        <w:pStyle w:val="Heading1"/>
        <w:keepLines w:val="0"/>
        <w:spacing w:before="240" w:after="60" w:line="240" w:lineRule="auto"/>
        <w:rPr>
          <w:rFonts w:ascii="Times" w:eastAsia="Times" w:hAnsi="Times" w:cs="Times"/>
          <w:b/>
          <w:bCs/>
          <w:sz w:val="32"/>
          <w:szCs w:val="32"/>
        </w:rPr>
      </w:pPr>
      <w:bookmarkStart w:id="17" w:name="_heading=h.ym29tdn1klde" w:colFirst="0" w:colLast="0"/>
      <w:bookmarkEnd w:id="17"/>
      <w:r>
        <w:rPr>
          <w:rFonts w:ascii="Times" w:eastAsia="Times" w:hAnsi="Times" w:cs="Times"/>
          <w:b/>
          <w:bCs/>
          <w:sz w:val="32"/>
          <w:szCs w:val="32"/>
        </w:rPr>
        <w:t>5. Discussion</w:t>
      </w:r>
    </w:p>
    <w:p w14:paraId="0E3A05FF"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Our experiments show that EDE improves cold-start discovery in some synthetic settings with small average NDCG differences. By combining click entropy and novelty, EDE increases exposure for tail items. Novelty-only is competitive or stronger, so the corrected results do not </w:t>
      </w:r>
      <w:r>
        <w:rPr>
          <w:rFonts w:ascii="Times" w:eastAsia="Times" w:hAnsi="Times" w:cs="Times"/>
          <w:sz w:val="24"/>
          <w:szCs w:val="24"/>
        </w:rPr>
        <w:lastRenderedPageBreak/>
        <w:t>establish a distinct entropy benefit. At the same time, the safe-prefix and candidate-gating constraints limit disruption to high-confidence top results; they do not bound losses elsewhere in the list. Extremely severe new-item blocking can reduce its impact, as reflected by coverage approaching zero in the most difficult bins. The query-level diagnostics show losses that an average NDCG difference can conceal.</w:t>
      </w:r>
    </w:p>
    <w:p w14:paraId="6304BD82" w14:textId="77777777" w:rsidR="00D56233" w:rsidRDefault="00D56233">
      <w:pPr>
        <w:spacing w:line="240" w:lineRule="auto"/>
        <w:rPr>
          <w:rFonts w:ascii="Times" w:eastAsia="Times" w:hAnsi="Times" w:cs="Times"/>
          <w:sz w:val="24"/>
          <w:szCs w:val="24"/>
        </w:rPr>
      </w:pPr>
    </w:p>
    <w:p w14:paraId="47E71512"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The real-log replay provides a narrower displacement diagnostic. In the replay setting, EDE behaves as a conservative tail re-ranking policy, typically making only small changes at lower ranks while preserving the effective stability of top results. With only ten logged candidates and no cold-start labels, it cannot test the entry or discovery of new items. Reassigning fixed observed clicks to hypothetical positions does not estimate user engagement. Although this offline analysis remains limited (offline ranking metrics do not always perfectly reflect live user satisfaction (Gilotte et al., 2018)), it measures displacement on observed support, not live user-experience effects.</w:t>
      </w:r>
    </w:p>
    <w:p w14:paraId="07201C26" w14:textId="77777777" w:rsidR="00D56233" w:rsidRDefault="00D56233">
      <w:pPr>
        <w:spacing w:line="240" w:lineRule="auto"/>
        <w:rPr>
          <w:rFonts w:ascii="Times" w:eastAsia="Times" w:hAnsi="Times" w:cs="Times"/>
          <w:sz w:val="24"/>
          <w:szCs w:val="24"/>
        </w:rPr>
      </w:pPr>
    </w:p>
    <w:p w14:paraId="75E491A7" w14:textId="77777777" w:rsidR="00D56233" w:rsidRDefault="00000000">
      <w:r>
        <w:t>Unlike BubbleRank and Shiino et al. (2023), EDE does not learn pairwise evidence or confidence bounds; unlike Gupta et al. (2023), its prefix does not control counterfactual deployment risk. Direct comparisons under compatible feedback remain future work. Randomized logs could support IPS/doubly robust evaluation, followed by interleaving or A/B tests with CTR, abandonment, dwell time, complaints and discovery guardrails.</w:t>
      </w:r>
    </w:p>
    <w:p w14:paraId="5CB4A82E" w14:textId="77777777" w:rsidR="00D56233" w:rsidRDefault="00000000">
      <w:pPr>
        <w:spacing w:before="240" w:after="60" w:line="240" w:lineRule="auto"/>
        <w:rPr>
          <w:rFonts w:ascii="Times" w:eastAsia="Times" w:hAnsi="Times" w:cs="Times"/>
          <w:b/>
          <w:bCs/>
          <w:sz w:val="32"/>
          <w:szCs w:val="32"/>
        </w:rPr>
      </w:pPr>
      <w:r>
        <w:rPr>
          <w:rFonts w:ascii="Times" w:eastAsia="Times" w:hAnsi="Times" w:cs="Times"/>
          <w:b/>
          <w:bCs/>
          <w:sz w:val="32"/>
          <w:szCs w:val="32"/>
        </w:rPr>
        <w:t>6. Limitations</w:t>
      </w:r>
    </w:p>
    <w:p w14:paraId="19A4D7F0"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There are several limitations. Our simulator, while flexible, is still a simplification; for example, it assumes a static query set and does not model cross-item similarity beyond relevance. We also assume a stationary base ranker and do not retrain the model online. In addition, we do not incorporate item-side features or personalization beyond query embeddings; integrating content features or learned priors (as in Gupta et al., 2020; Han et al., 2022) could complement EDE and further improve cold-start handling. Finally, although we evaluate multiple click models, real user behavior may differ from these assumptions in ways not captured here. Future work could therefore include online A/B testing, counterfactual evaluation, and richer feature-aware extensions (Swaminathan &amp; Joachims, 2015) to better estimate EDE’s impact in live deployment and to refine its operating point in production environments. Fixed top-ten relevance labels, synchronized arrivals and the new-document penalty constrain external validity; the natural-threshold and intent tests remain stylized.</w:t>
      </w:r>
    </w:p>
    <w:p w14:paraId="63FCC2E4" w14:textId="77777777" w:rsidR="00D56233" w:rsidRDefault="00000000">
      <w:r>
        <w:t>Only λ is validated; other parameters remain defaults explored through selected sensitivities. Heuristic comparators supply no regret or per-query safety guarantees, and latency is unmeasured. Yandex lacks cold-start labels and propensities; session bootstrapping cannot remove log-prefix selection bias or cross-session dependence. Updated items, new providers, new query-item pairs, seasonality and adversarial/low-quality arrivals are untested, and no provider-group fairness metric is available. Future work should test these cases with quality safeguards and adapt exploration to query frequency, ranker confidence, traffic and category-specific risk.</w:t>
      </w:r>
    </w:p>
    <w:p w14:paraId="72CD8136" w14:textId="77777777" w:rsidR="00D56233" w:rsidRDefault="00000000">
      <w:pPr>
        <w:pStyle w:val="Heading1"/>
        <w:keepLines w:val="0"/>
        <w:spacing w:before="240" w:after="60" w:line="240" w:lineRule="auto"/>
        <w:rPr>
          <w:rFonts w:ascii="Times" w:eastAsia="Times" w:hAnsi="Times" w:cs="Times"/>
          <w:b/>
          <w:bCs/>
          <w:sz w:val="32"/>
          <w:szCs w:val="32"/>
        </w:rPr>
      </w:pPr>
      <w:r>
        <w:rPr>
          <w:rFonts w:ascii="Times" w:eastAsia="Times" w:hAnsi="Times" w:cs="Times"/>
          <w:b/>
          <w:bCs/>
          <w:sz w:val="32"/>
          <w:szCs w:val="32"/>
        </w:rPr>
        <w:t>7. Conclusion</w:t>
      </w:r>
    </w:p>
    <w:p w14:paraId="50E2F365" w14:textId="77777777" w:rsidR="00D56233" w:rsidRDefault="00000000">
      <w:pPr>
        <w:spacing w:line="240" w:lineRule="auto"/>
        <w:rPr>
          <w:rFonts w:ascii="Times" w:eastAsia="Times" w:hAnsi="Times" w:cs="Times"/>
          <w:sz w:val="24"/>
          <w:szCs w:val="24"/>
        </w:rPr>
      </w:pPr>
      <w:r>
        <w:rPr>
          <w:rFonts w:ascii="Times" w:eastAsia="Times" w:hAnsi="Times" w:cs="Times"/>
          <w:sz w:val="24"/>
          <w:szCs w:val="24"/>
        </w:rPr>
        <w:t xml:space="preserve">We introduced EDE, an entropy-guided exploration strategy for cold-start ranking that is designed as a constrained re-ranking layer on top of a fixed base ranker. EDE improved </w:t>
      </w:r>
      <w:r>
        <w:rPr>
          <w:rFonts w:ascii="Times" w:eastAsia="Times" w:hAnsi="Times" w:cs="Times"/>
          <w:sz w:val="24"/>
          <w:szCs w:val="24"/>
        </w:rPr>
        <w:lastRenderedPageBreak/>
        <w:t>discovery in some synthetic settings with small average NDCG losses. The corrected evidence does not establish a consistent entropy advantage over novelty alone. Real click-log replay measures displacement without cold-start ground truth. Stronger counterfactual and online evaluation is needed before deployment or engagement claims.</w:t>
      </w:r>
    </w:p>
    <w:p w14:paraId="2DA0506B" w14:textId="77777777" w:rsidR="00D56233" w:rsidRDefault="00D56233">
      <w:pPr>
        <w:spacing w:line="240" w:lineRule="auto"/>
        <w:rPr>
          <w:rFonts w:ascii="Times" w:eastAsia="Times" w:hAnsi="Times" w:cs="Times"/>
          <w:sz w:val="24"/>
          <w:szCs w:val="24"/>
        </w:rPr>
      </w:pPr>
    </w:p>
    <w:p w14:paraId="7A39F3D5" w14:textId="77777777" w:rsidR="00D56233" w:rsidRDefault="00000000">
      <w:pPr>
        <w:spacing w:before="240" w:after="60" w:line="240" w:lineRule="auto"/>
        <w:rPr>
          <w:rFonts w:ascii="Times" w:eastAsia="Times" w:hAnsi="Times" w:cs="Times"/>
          <w:b/>
          <w:bCs/>
          <w:sz w:val="32"/>
          <w:szCs w:val="32"/>
        </w:rPr>
      </w:pPr>
      <w:r>
        <w:rPr>
          <w:rFonts w:ascii="Times" w:eastAsia="Times" w:hAnsi="Times" w:cs="Times"/>
          <w:b/>
          <w:bCs/>
          <w:sz w:val="32"/>
          <w:szCs w:val="32"/>
        </w:rPr>
        <w:t>Data Availability</w:t>
      </w:r>
    </w:p>
    <w:p w14:paraId="1C4C1FDA" w14:textId="77777777" w:rsidR="00D56233" w:rsidRDefault="00000000">
      <w:r>
        <w:t>The original code archive is https://doi.org/10.5281/zenodo.19242717; the revised code, protocol, dependency list and per-seed results accompany this submission and require a new version-specific DOI. Yandex training data are available from https://www.kaggle.com/c/yandex-personalized-web-search-challenge, subject to source terms. Raw logs are not redistributed. The acquisition script and SHA-256 manifest specify the exact prefix used in Section 3.5.</w:t>
      </w:r>
    </w:p>
    <w:p w14:paraId="2F6EB035" w14:textId="77777777" w:rsidR="00D56233" w:rsidRDefault="00000000">
      <w:pPr>
        <w:pStyle w:val="Heading1"/>
        <w:keepLines w:val="0"/>
        <w:spacing w:before="240" w:after="60" w:line="240" w:lineRule="auto"/>
        <w:rPr>
          <w:rFonts w:ascii="Times" w:eastAsia="Times" w:hAnsi="Times" w:cs="Times"/>
          <w:b/>
          <w:bCs/>
          <w:sz w:val="32"/>
          <w:szCs w:val="32"/>
        </w:rPr>
      </w:pPr>
      <w:bookmarkStart w:id="18" w:name="_heading=h.14vuul67na1v" w:colFirst="0" w:colLast="0"/>
      <w:bookmarkEnd w:id="18"/>
      <w:r>
        <w:rPr>
          <w:rFonts w:ascii="Times" w:eastAsia="Times" w:hAnsi="Times" w:cs="Times"/>
          <w:b/>
          <w:bCs/>
          <w:sz w:val="32"/>
          <w:szCs w:val="32"/>
        </w:rPr>
        <w:t>Acknowledgements</w:t>
      </w:r>
    </w:p>
    <w:p w14:paraId="446ABC11" w14:textId="6E8BB122" w:rsidR="00D56233" w:rsidRDefault="00000000">
      <w:pPr>
        <w:spacing w:line="240" w:lineRule="auto"/>
        <w:rPr>
          <w:rFonts w:ascii="Times" w:eastAsia="Times" w:hAnsi="Times" w:cs="Times"/>
          <w:sz w:val="24"/>
          <w:szCs w:val="24"/>
        </w:rPr>
      </w:pPr>
      <w:r>
        <w:rPr>
          <w:rFonts w:ascii="Times" w:eastAsia="Times" w:hAnsi="Times" w:cs="Times"/>
          <w:sz w:val="24"/>
          <w:szCs w:val="24"/>
        </w:rPr>
        <w:t>The authors acknowledge utilizing ChatGPT-5.2 to refine the grammar, clarity, and organization of the manuscript text.</w:t>
      </w:r>
    </w:p>
    <w:p w14:paraId="4DBDB7B5" w14:textId="77777777" w:rsidR="00D56233" w:rsidRDefault="00000000">
      <w:pPr>
        <w:pStyle w:val="Heading1"/>
        <w:keepLines w:val="0"/>
        <w:spacing w:before="240" w:after="60" w:line="240" w:lineRule="auto"/>
        <w:rPr>
          <w:rFonts w:ascii="Times" w:eastAsia="Times" w:hAnsi="Times" w:cs="Times"/>
          <w:sz w:val="24"/>
          <w:szCs w:val="24"/>
        </w:rPr>
      </w:pPr>
      <w:bookmarkStart w:id="19" w:name="_heading=h.8o9jeds21g5a" w:colFirst="0" w:colLast="0"/>
      <w:bookmarkEnd w:id="19"/>
      <w:r>
        <w:rPr>
          <w:rFonts w:ascii="Times" w:eastAsia="Times" w:hAnsi="Times" w:cs="Times"/>
          <w:b/>
          <w:bCs/>
          <w:sz w:val="32"/>
          <w:szCs w:val="32"/>
        </w:rPr>
        <w:t>References</w:t>
      </w:r>
    </w:p>
    <w:p w14:paraId="023D8B4D" w14:textId="77777777" w:rsidR="00D56233" w:rsidRDefault="00000000">
      <w:r>
        <w:rPr>
          <w:b/>
        </w:rPr>
        <w:t xml:space="preserve">Agarwal A, Takatsu K, Zaitsev I, Joachims T. </w:t>
      </w:r>
      <w:r>
        <w:t>2019. A general framework for counterfactual learning-to-rank. SIGIR. DOI 10.1145/3331184.3331202.</w:t>
      </w:r>
    </w:p>
    <w:p w14:paraId="0E15B5B5"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Agrawal R, Gollapudi S, Halverson A, Ieong S.</w:t>
      </w:r>
      <w:r>
        <w:rPr>
          <w:rFonts w:ascii="Times" w:eastAsia="Times" w:hAnsi="Times" w:cs="Times"/>
          <w:sz w:val="24"/>
          <w:szCs w:val="24"/>
        </w:rPr>
        <w:t xml:space="preserve"> 2009. Diversifying search results. </w:t>
      </w:r>
      <w:r>
        <w:rPr>
          <w:rFonts w:ascii="Times" w:eastAsia="Times" w:hAnsi="Times" w:cs="Times"/>
          <w:i/>
          <w:iCs/>
          <w:sz w:val="24"/>
          <w:szCs w:val="24"/>
        </w:rPr>
        <w:t>2nd ACM International Conference on Web Search and Data Mining (WSDM ’09)</w:t>
      </w:r>
      <w:r>
        <w:rPr>
          <w:rFonts w:ascii="Times" w:eastAsia="Times" w:hAnsi="Times" w:cs="Times"/>
          <w:sz w:val="24"/>
          <w:szCs w:val="24"/>
        </w:rPr>
        <w:t xml:space="preserve"> 5–14</w:t>
      </w:r>
      <w:hyperlink r:id="rId6">
        <w:r>
          <w:rPr>
            <w:rFonts w:ascii="Times" w:eastAsia="Times" w:hAnsi="Times" w:cs="Times"/>
            <w:sz w:val="24"/>
            <w:szCs w:val="24"/>
          </w:rPr>
          <w:t xml:space="preserve"> </w:t>
        </w:r>
      </w:hyperlink>
      <w:hyperlink r:id="rId7">
        <w:r>
          <w:rPr>
            <w:rFonts w:ascii="Times" w:eastAsia="Times" w:hAnsi="Times" w:cs="Times"/>
            <w:color w:val="1155CC"/>
            <w:sz w:val="24"/>
            <w:szCs w:val="24"/>
          </w:rPr>
          <w:t>DOI 10.1145/1498759.1498766</w:t>
        </w:r>
      </w:hyperlink>
      <w:r>
        <w:rPr>
          <w:rFonts w:ascii="Times" w:eastAsia="Times" w:hAnsi="Times" w:cs="Times"/>
          <w:sz w:val="24"/>
          <w:szCs w:val="24"/>
        </w:rPr>
        <w:t>.</w:t>
      </w:r>
    </w:p>
    <w:p w14:paraId="71E8A517"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Auer P, Cesa-Bianchi N, Fischer P.</w:t>
      </w:r>
      <w:r>
        <w:rPr>
          <w:rFonts w:ascii="Times" w:eastAsia="Times" w:hAnsi="Times" w:cs="Times"/>
          <w:sz w:val="24"/>
          <w:szCs w:val="24"/>
        </w:rPr>
        <w:t xml:space="preserve"> 2002. Finite-time analysis of the multiarmed bandit problem. Machine Learning 47(2/3): 235-256. </w:t>
      </w:r>
      <w:hyperlink r:id="rId8">
        <w:r>
          <w:rPr>
            <w:rFonts w:ascii="Times" w:eastAsia="Times" w:hAnsi="Times" w:cs="Times"/>
            <w:color w:val="1155CC"/>
            <w:sz w:val="24"/>
            <w:szCs w:val="24"/>
          </w:rPr>
          <w:t>DOI 10.1023/A:1013689704352.</w:t>
        </w:r>
      </w:hyperlink>
    </w:p>
    <w:p w14:paraId="05124704"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Carbonell JG, Goldstein J.</w:t>
      </w:r>
      <w:r>
        <w:rPr>
          <w:rFonts w:ascii="Times" w:eastAsia="Times" w:hAnsi="Times" w:cs="Times"/>
          <w:sz w:val="24"/>
          <w:szCs w:val="24"/>
        </w:rPr>
        <w:t xml:space="preserve"> 1998. The use of MMR, diversity-based reranking for reordering documents and producing summaries. </w:t>
      </w:r>
      <w:r>
        <w:rPr>
          <w:rFonts w:ascii="Times" w:eastAsia="Times" w:hAnsi="Times" w:cs="Times"/>
          <w:i/>
          <w:iCs/>
          <w:sz w:val="24"/>
          <w:szCs w:val="24"/>
        </w:rPr>
        <w:t>21st Annual International ACM SIGIR Conference on Research and Development in Information Retrieval (SIGIR ’98)</w:t>
      </w:r>
      <w:r>
        <w:rPr>
          <w:rFonts w:ascii="Times" w:eastAsia="Times" w:hAnsi="Times" w:cs="Times"/>
          <w:sz w:val="24"/>
          <w:szCs w:val="24"/>
        </w:rPr>
        <w:t xml:space="preserve"> 335–336</w:t>
      </w:r>
      <w:hyperlink r:id="rId9">
        <w:r>
          <w:rPr>
            <w:rFonts w:ascii="Times" w:eastAsia="Times" w:hAnsi="Times" w:cs="Times"/>
            <w:sz w:val="24"/>
            <w:szCs w:val="24"/>
          </w:rPr>
          <w:t xml:space="preserve"> </w:t>
        </w:r>
      </w:hyperlink>
      <w:hyperlink r:id="rId10">
        <w:r>
          <w:rPr>
            <w:rFonts w:ascii="Times" w:eastAsia="Times" w:hAnsi="Times" w:cs="Times"/>
            <w:color w:val="1155CC"/>
            <w:sz w:val="24"/>
            <w:szCs w:val="24"/>
          </w:rPr>
          <w:t>DOI 10.1145/290941.291025</w:t>
        </w:r>
      </w:hyperlink>
      <w:r>
        <w:rPr>
          <w:rFonts w:ascii="Times" w:eastAsia="Times" w:hAnsi="Times" w:cs="Times"/>
          <w:sz w:val="24"/>
          <w:szCs w:val="24"/>
        </w:rPr>
        <w:t>.</w:t>
      </w:r>
    </w:p>
    <w:p w14:paraId="293B080C"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Chuklin A, Markov I, de Rijke M.</w:t>
      </w:r>
      <w:r>
        <w:rPr>
          <w:rFonts w:ascii="Times" w:eastAsia="Times" w:hAnsi="Times" w:cs="Times"/>
          <w:sz w:val="24"/>
          <w:szCs w:val="24"/>
        </w:rPr>
        <w:t xml:space="preserve"> 2015. Click Models for Web Search. Synthesis Lectures on Information Concepts, Retrieval, and Services 7(3): 1-115. </w:t>
      </w:r>
      <w:hyperlink r:id="rId11">
        <w:r>
          <w:rPr>
            <w:rFonts w:ascii="Times" w:eastAsia="Times" w:hAnsi="Times" w:cs="Times"/>
            <w:color w:val="1155CC"/>
            <w:sz w:val="24"/>
            <w:szCs w:val="24"/>
          </w:rPr>
          <w:t>DOI 10.2200/S00654ED1V01Y201507ICR043.</w:t>
        </w:r>
      </w:hyperlink>
    </w:p>
    <w:p w14:paraId="58B0728C" w14:textId="77777777" w:rsidR="00D56233" w:rsidRDefault="00000000">
      <w:r>
        <w:rPr>
          <w:b/>
        </w:rPr>
        <w:t xml:space="preserve">Du Y, Srikant R, Chen W. </w:t>
      </w:r>
      <w:r>
        <w:t>2024. Cascading reinforcement learning. International Conference on Learning Representations. https://proceedings.iclr.cc/paper_files/paper/2024/hash/811d35e47edbb191c19151f3c5f80f53-Abstract-Conference.html.</w:t>
      </w:r>
    </w:p>
    <w:p w14:paraId="04275BED" w14:textId="77777777" w:rsidR="00D56233" w:rsidRDefault="00000000">
      <w:r>
        <w:rPr>
          <w:b/>
        </w:rPr>
        <w:t xml:space="preserve">Fang Z, Agarwal A, Joachims T. </w:t>
      </w:r>
      <w:r>
        <w:t>2019. Intervention harvesting for context-dependent examination-bias estimation. SIGIR. DOI 10.1145/3331184.3331238.</w:t>
      </w:r>
    </w:p>
    <w:p w14:paraId="74FE3842"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lastRenderedPageBreak/>
        <w:t>Gupta P, Dreossi T, Bakus J, Lin YH, Salaka V.</w:t>
      </w:r>
      <w:r>
        <w:rPr>
          <w:rFonts w:ascii="Times" w:eastAsia="Times" w:hAnsi="Times" w:cs="Times"/>
          <w:sz w:val="24"/>
          <w:szCs w:val="24"/>
        </w:rPr>
        <w:t xml:space="preserve"> 2020. Treating cold start in product search by priors. </w:t>
      </w:r>
      <w:r>
        <w:rPr>
          <w:rFonts w:ascii="Times" w:eastAsia="Times" w:hAnsi="Times" w:cs="Times"/>
          <w:i/>
          <w:iCs/>
          <w:sz w:val="24"/>
          <w:szCs w:val="24"/>
        </w:rPr>
        <w:t>The Web Conference 2020 Companion (WWW ’20 Companion)</w:t>
      </w:r>
      <w:hyperlink r:id="rId12">
        <w:r>
          <w:rPr>
            <w:rFonts w:ascii="Times" w:eastAsia="Times" w:hAnsi="Times" w:cs="Times"/>
            <w:sz w:val="24"/>
            <w:szCs w:val="24"/>
          </w:rPr>
          <w:t xml:space="preserve"> </w:t>
        </w:r>
      </w:hyperlink>
      <w:hyperlink r:id="rId13">
        <w:r>
          <w:rPr>
            <w:rFonts w:ascii="Times" w:eastAsia="Times" w:hAnsi="Times" w:cs="Times"/>
            <w:color w:val="1155CC"/>
            <w:sz w:val="24"/>
            <w:szCs w:val="24"/>
          </w:rPr>
          <w:t>DOI 10.1145/3366424.3382705</w:t>
        </w:r>
      </w:hyperlink>
      <w:r>
        <w:rPr>
          <w:rFonts w:ascii="Times" w:eastAsia="Times" w:hAnsi="Times" w:cs="Times"/>
          <w:sz w:val="24"/>
          <w:szCs w:val="24"/>
        </w:rPr>
        <w:t>.</w:t>
      </w:r>
    </w:p>
    <w:p w14:paraId="57C13FC6"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Gilotte A, Calauzenes C, Nedelec T, Abraham A, Dolle S.</w:t>
      </w:r>
      <w:r>
        <w:rPr>
          <w:rFonts w:ascii="Times" w:eastAsia="Times" w:hAnsi="Times" w:cs="Times"/>
          <w:sz w:val="24"/>
          <w:szCs w:val="24"/>
        </w:rPr>
        <w:t xml:space="preserve"> 2018. Offline A/B testing for recommender systems. 11th ACM International Conference on Web Search and Data Mining (WSDM '18) 198-206. </w:t>
      </w:r>
      <w:hyperlink r:id="rId14">
        <w:r>
          <w:rPr>
            <w:rFonts w:ascii="Times" w:eastAsia="Times" w:hAnsi="Times" w:cs="Times"/>
            <w:color w:val="1155CC"/>
            <w:sz w:val="24"/>
            <w:szCs w:val="24"/>
          </w:rPr>
          <w:t>DOI 10.1145/3159652.3159687.</w:t>
        </w:r>
      </w:hyperlink>
    </w:p>
    <w:p w14:paraId="2BB87C40" w14:textId="77777777" w:rsidR="00D56233" w:rsidRDefault="00000000">
      <w:r>
        <w:rPr>
          <w:b/>
        </w:rPr>
        <w:t xml:space="preserve">Gupta S, Oosterhuis H, de Rijke M. </w:t>
      </w:r>
      <w:r>
        <w:t>2023. Safe deployment for counterfactual learning to rank with exposure-based risk minimization. SIGIR. DOI 10.1145/3539618.3591760.</w:t>
      </w:r>
    </w:p>
    <w:p w14:paraId="5F837D9D"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Han C, Castells P, Gupta P, Xu X, Salaka V.</w:t>
      </w:r>
      <w:r>
        <w:rPr>
          <w:rFonts w:ascii="Times" w:eastAsia="Times" w:hAnsi="Times" w:cs="Times"/>
          <w:sz w:val="24"/>
          <w:szCs w:val="24"/>
        </w:rPr>
        <w:t xml:space="preserve"> 2022. Addressing cold start in product search via empirical Bayes. </w:t>
      </w:r>
      <w:r>
        <w:rPr>
          <w:rFonts w:ascii="Times" w:eastAsia="Times" w:hAnsi="Times" w:cs="Times"/>
          <w:i/>
          <w:iCs/>
          <w:sz w:val="24"/>
          <w:szCs w:val="24"/>
        </w:rPr>
        <w:t>31st ACM International Conference on Information &amp; Knowledge Management (CIKM ’22)</w:t>
      </w:r>
      <w:hyperlink r:id="rId15">
        <w:r>
          <w:rPr>
            <w:rFonts w:ascii="Times" w:eastAsia="Times" w:hAnsi="Times" w:cs="Times"/>
            <w:sz w:val="24"/>
            <w:szCs w:val="24"/>
          </w:rPr>
          <w:t xml:space="preserve"> </w:t>
        </w:r>
      </w:hyperlink>
      <w:hyperlink r:id="rId16">
        <w:r>
          <w:rPr>
            <w:rFonts w:ascii="Times" w:eastAsia="Times" w:hAnsi="Times" w:cs="Times"/>
            <w:color w:val="1155CC"/>
            <w:sz w:val="24"/>
            <w:szCs w:val="24"/>
          </w:rPr>
          <w:t>DOI 10.1145/3511808.3557066</w:t>
        </w:r>
      </w:hyperlink>
      <w:r>
        <w:rPr>
          <w:rFonts w:ascii="Times" w:eastAsia="Times" w:hAnsi="Times" w:cs="Times"/>
          <w:sz w:val="24"/>
          <w:szCs w:val="24"/>
        </w:rPr>
        <w:t>.</w:t>
      </w:r>
    </w:p>
    <w:p w14:paraId="5276CC1F"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Huang PS, He X, Gao J, Deng L, Acero A, Heck L.</w:t>
      </w:r>
      <w:r>
        <w:rPr>
          <w:rFonts w:ascii="Times" w:eastAsia="Times" w:hAnsi="Times" w:cs="Times"/>
          <w:sz w:val="24"/>
          <w:szCs w:val="24"/>
        </w:rPr>
        <w:t xml:space="preserve"> 2013. Learning deep structured semantic models for web search using clickthrough data. </w:t>
      </w:r>
      <w:r>
        <w:rPr>
          <w:rFonts w:ascii="Times" w:eastAsia="Times" w:hAnsi="Times" w:cs="Times"/>
          <w:i/>
          <w:iCs/>
          <w:sz w:val="24"/>
          <w:szCs w:val="24"/>
        </w:rPr>
        <w:t>22nd ACM International Conference on Information &amp; Knowledge Management (CIKM '13)</w:t>
      </w:r>
      <w:r>
        <w:rPr>
          <w:rFonts w:ascii="Times" w:eastAsia="Times" w:hAnsi="Times" w:cs="Times"/>
          <w:sz w:val="24"/>
          <w:szCs w:val="24"/>
        </w:rPr>
        <w:t xml:space="preserve"> 2333-2338. </w:t>
      </w:r>
      <w:hyperlink r:id="rId17">
        <w:r>
          <w:rPr>
            <w:rFonts w:ascii="Times" w:eastAsia="Times" w:hAnsi="Times" w:cs="Times"/>
            <w:color w:val="1155CC"/>
            <w:sz w:val="24"/>
            <w:szCs w:val="24"/>
          </w:rPr>
          <w:t>DOI 10.1145/2505515.2505665.</w:t>
        </w:r>
      </w:hyperlink>
    </w:p>
    <w:p w14:paraId="3281A42B" w14:textId="77777777" w:rsidR="00D56233" w:rsidRDefault="00000000">
      <w:pPr>
        <w:spacing w:before="240" w:after="240" w:line="240" w:lineRule="auto"/>
        <w:rPr>
          <w:rFonts w:ascii="Times" w:eastAsia="Times" w:hAnsi="Times" w:cs="Times"/>
          <w:sz w:val="24"/>
          <w:szCs w:val="24"/>
        </w:rPr>
      </w:pPr>
      <w:r>
        <w:rPr>
          <w:b/>
        </w:rPr>
        <w:t xml:space="preserve">Järvelin K, Kekäläinen J. </w:t>
      </w:r>
      <w:r>
        <w:t>2002. Cumulated gain-based evaluation of IR techniques. ACM Transactions on Information Systems (TOIS) 20(4): 422-446. DOI 10.1145/582415.582418.</w:t>
      </w:r>
    </w:p>
    <w:p w14:paraId="3283D678"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Joachims T, Granka L, Pan B, Hembrooke H, Gay G.</w:t>
      </w:r>
      <w:r>
        <w:rPr>
          <w:rFonts w:ascii="Times" w:eastAsia="Times" w:hAnsi="Times" w:cs="Times"/>
          <w:sz w:val="24"/>
          <w:szCs w:val="24"/>
        </w:rPr>
        <w:t xml:space="preserve"> 2005. Accurately interpreting clickthrough data as implicit feedback. </w:t>
      </w:r>
      <w:r>
        <w:rPr>
          <w:rFonts w:ascii="Times" w:eastAsia="Times" w:hAnsi="Times" w:cs="Times"/>
          <w:i/>
          <w:iCs/>
          <w:sz w:val="24"/>
          <w:szCs w:val="24"/>
        </w:rPr>
        <w:t>28th Annual International ACM SIGIR Conference on Research and Development in Information Retrieval (SIGIR '05)</w:t>
      </w:r>
      <w:r>
        <w:rPr>
          <w:rFonts w:ascii="Times" w:eastAsia="Times" w:hAnsi="Times" w:cs="Times"/>
          <w:sz w:val="24"/>
          <w:szCs w:val="24"/>
        </w:rPr>
        <w:t xml:space="preserve"> 154-161. </w:t>
      </w:r>
      <w:hyperlink r:id="rId18">
        <w:r>
          <w:rPr>
            <w:rFonts w:ascii="Times" w:eastAsia="Times" w:hAnsi="Times" w:cs="Times"/>
            <w:color w:val="1155CC"/>
            <w:sz w:val="24"/>
            <w:szCs w:val="24"/>
          </w:rPr>
          <w:t>DOI 10.1145/1076034.1076063</w:t>
        </w:r>
      </w:hyperlink>
      <w:r>
        <w:rPr>
          <w:rFonts w:ascii="Times" w:eastAsia="Times" w:hAnsi="Times" w:cs="Times"/>
          <w:sz w:val="24"/>
          <w:szCs w:val="24"/>
        </w:rPr>
        <w:t>.</w:t>
      </w:r>
    </w:p>
    <w:p w14:paraId="06C79310" w14:textId="77777777" w:rsidR="00D56233" w:rsidRDefault="00000000">
      <w:pPr>
        <w:spacing w:before="240" w:after="240" w:line="240" w:lineRule="auto"/>
        <w:rPr>
          <w:rFonts w:ascii="Times" w:eastAsia="Times" w:hAnsi="Times" w:cs="Times"/>
          <w:sz w:val="24"/>
          <w:szCs w:val="24"/>
          <w:highlight w:val="red"/>
        </w:rPr>
      </w:pPr>
      <w:r>
        <w:rPr>
          <w:b/>
        </w:rPr>
        <w:t xml:space="preserve">Kveton B, Szepesvári C, Wen Z, Ashkan A. </w:t>
      </w:r>
      <w:r>
        <w:t>2015. Cascading bandits: learning to rank in the cascade model. Proceedings of Machine Learning Research 37:767–776. https://proceedings.mlr.press/v37/kveton15.html.</w:t>
      </w:r>
    </w:p>
    <w:p w14:paraId="31617BA5" w14:textId="77777777" w:rsidR="00D56233" w:rsidRDefault="00000000">
      <w:pPr>
        <w:spacing w:before="240" w:after="240" w:line="240" w:lineRule="auto"/>
        <w:rPr>
          <w:rFonts w:ascii="Times" w:eastAsia="Times" w:hAnsi="Times" w:cs="Times"/>
          <w:sz w:val="28"/>
          <w:szCs w:val="28"/>
          <w:highlight w:val="red"/>
        </w:rPr>
      </w:pPr>
      <w:r>
        <w:rPr>
          <w:b/>
        </w:rPr>
        <w:t xml:space="preserve">Lattimore T, Kveton B, Li S, Szepesvári C. </w:t>
      </w:r>
      <w:r>
        <w:t>2018. TopRank: a practical algorithm for online stochastic ranking. Advances in Neural Information Processing Systems 31. https://proceedings.neurips.cc/paper/2018/hash/de03beffeed9da5f3639a621bcab5dd4-Abstract.html.</w:t>
      </w:r>
    </w:p>
    <w:p w14:paraId="03D13094" w14:textId="77777777" w:rsidR="00D56233" w:rsidRDefault="00000000">
      <w:pPr>
        <w:spacing w:before="240" w:after="240" w:line="240" w:lineRule="auto"/>
        <w:rPr>
          <w:rFonts w:ascii="Times" w:eastAsia="Times" w:hAnsi="Times" w:cs="Times"/>
          <w:sz w:val="24"/>
          <w:szCs w:val="24"/>
        </w:rPr>
      </w:pPr>
      <w:r>
        <w:rPr>
          <w:b/>
        </w:rPr>
        <w:t xml:space="preserve">Li C, Kveton B, Lattimore T, Markov I, de Rijke M, Szepesvári C, Zoghi M. </w:t>
      </w:r>
      <w:r>
        <w:t>2020. BubbleRank: safe online learning to re-rank via implicit click feedback. Proceedings of Machine Learning Research 115:196–206. https://proceedings.mlr.press/v115/li20b.html.</w:t>
      </w:r>
    </w:p>
    <w:p w14:paraId="0B4143C2"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Liu T-Y.</w:t>
      </w:r>
      <w:r>
        <w:rPr>
          <w:rFonts w:ascii="Times" w:eastAsia="Times" w:hAnsi="Times" w:cs="Times"/>
          <w:sz w:val="24"/>
          <w:szCs w:val="24"/>
        </w:rPr>
        <w:t xml:space="preserve"> 2009. Learning to rank for information retrieval. </w:t>
      </w:r>
      <w:r>
        <w:rPr>
          <w:rFonts w:ascii="Times" w:eastAsia="Times" w:hAnsi="Times" w:cs="Times"/>
          <w:i/>
          <w:iCs/>
          <w:sz w:val="24"/>
          <w:szCs w:val="24"/>
        </w:rPr>
        <w:t>Foundations and Trends® in Information Retrieval</w:t>
      </w:r>
      <w:r>
        <w:rPr>
          <w:rFonts w:ascii="Times" w:eastAsia="Times" w:hAnsi="Times" w:cs="Times"/>
          <w:sz w:val="24"/>
          <w:szCs w:val="24"/>
        </w:rPr>
        <w:t xml:space="preserve"> 3(3): 225-331. </w:t>
      </w:r>
      <w:hyperlink r:id="rId19">
        <w:r>
          <w:rPr>
            <w:rFonts w:ascii="Times" w:eastAsia="Times" w:hAnsi="Times" w:cs="Times"/>
            <w:color w:val="1155CC"/>
            <w:sz w:val="24"/>
            <w:szCs w:val="24"/>
          </w:rPr>
          <w:t>DOI 10.1561/1500000016.</w:t>
        </w:r>
      </w:hyperlink>
    </w:p>
    <w:p w14:paraId="61D12079"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Mansoury M, Abdollahpouri H, Pechenizkiy M, Mobasher B, Burke R.</w:t>
      </w:r>
      <w:r>
        <w:rPr>
          <w:rFonts w:ascii="Times" w:eastAsia="Times" w:hAnsi="Times" w:cs="Times"/>
          <w:sz w:val="24"/>
          <w:szCs w:val="24"/>
        </w:rPr>
        <w:t xml:space="preserve"> 2020. Feedback loop and bias amplification in recommender systems. </w:t>
      </w:r>
      <w:r>
        <w:rPr>
          <w:rFonts w:ascii="Times" w:eastAsia="Times" w:hAnsi="Times" w:cs="Times"/>
          <w:i/>
          <w:iCs/>
          <w:sz w:val="24"/>
          <w:szCs w:val="24"/>
        </w:rPr>
        <w:t>29th ACM International Conference on Information &amp; Knowledge Management (CIKM ’20)</w:t>
      </w:r>
      <w:hyperlink r:id="rId20">
        <w:r>
          <w:rPr>
            <w:rFonts w:ascii="Times" w:eastAsia="Times" w:hAnsi="Times" w:cs="Times"/>
            <w:sz w:val="24"/>
            <w:szCs w:val="24"/>
          </w:rPr>
          <w:t xml:space="preserve"> </w:t>
        </w:r>
      </w:hyperlink>
      <w:hyperlink r:id="rId21">
        <w:r>
          <w:rPr>
            <w:rFonts w:ascii="Times" w:eastAsia="Times" w:hAnsi="Times" w:cs="Times"/>
            <w:color w:val="1155CC"/>
            <w:sz w:val="24"/>
            <w:szCs w:val="24"/>
          </w:rPr>
          <w:t>DOI 10.1145/3340531.3412152</w:t>
        </w:r>
      </w:hyperlink>
      <w:r>
        <w:rPr>
          <w:rFonts w:ascii="Times" w:eastAsia="Times" w:hAnsi="Times" w:cs="Times"/>
          <w:sz w:val="24"/>
          <w:szCs w:val="24"/>
        </w:rPr>
        <w:t>.</w:t>
      </w:r>
    </w:p>
    <w:p w14:paraId="2ED7A83C"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Manning CD, Raghavan P, Schutze H. 2008.</w:t>
      </w:r>
      <w:r>
        <w:rPr>
          <w:rFonts w:ascii="Times" w:eastAsia="Times" w:hAnsi="Times" w:cs="Times"/>
          <w:sz w:val="24"/>
          <w:szCs w:val="24"/>
        </w:rPr>
        <w:t xml:space="preserve"> Introduction to Information Retrieval. Cambridge University Press. </w:t>
      </w:r>
      <w:hyperlink r:id="rId22">
        <w:r>
          <w:rPr>
            <w:rFonts w:ascii="Times" w:eastAsia="Times" w:hAnsi="Times" w:cs="Times"/>
            <w:color w:val="1155CC"/>
            <w:sz w:val="24"/>
            <w:szCs w:val="24"/>
          </w:rPr>
          <w:t>DOI 10.1017/CBO9780511809071.</w:t>
        </w:r>
      </w:hyperlink>
    </w:p>
    <w:p w14:paraId="225DDD51"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lastRenderedPageBreak/>
        <w:t>Morik M, Singh A, Hong J, Joachims T.</w:t>
      </w:r>
      <w:r>
        <w:rPr>
          <w:rFonts w:ascii="Times" w:eastAsia="Times" w:hAnsi="Times" w:cs="Times"/>
          <w:sz w:val="24"/>
          <w:szCs w:val="24"/>
        </w:rPr>
        <w:t xml:space="preserve"> 2020. Controlling fairness and bias in dynamic learning-to-rank. </w:t>
      </w:r>
      <w:r>
        <w:rPr>
          <w:rFonts w:ascii="Times" w:eastAsia="Times" w:hAnsi="Times" w:cs="Times"/>
          <w:i/>
          <w:iCs/>
          <w:sz w:val="24"/>
          <w:szCs w:val="24"/>
        </w:rPr>
        <w:t>43rd International ACM SIGIR Conference on Research and Development in Information Retrieval (SIGIR ’20)</w:t>
      </w:r>
      <w:hyperlink r:id="rId23">
        <w:r>
          <w:rPr>
            <w:rFonts w:ascii="Times" w:eastAsia="Times" w:hAnsi="Times" w:cs="Times"/>
            <w:sz w:val="24"/>
            <w:szCs w:val="24"/>
          </w:rPr>
          <w:t xml:space="preserve"> </w:t>
        </w:r>
      </w:hyperlink>
      <w:hyperlink r:id="rId24">
        <w:r>
          <w:rPr>
            <w:rFonts w:ascii="Times" w:eastAsia="Times" w:hAnsi="Times" w:cs="Times"/>
            <w:color w:val="1155CC"/>
            <w:sz w:val="24"/>
            <w:szCs w:val="24"/>
          </w:rPr>
          <w:t>DOI 10.1145/3397271.3401100</w:t>
        </w:r>
      </w:hyperlink>
      <w:r>
        <w:rPr>
          <w:rFonts w:ascii="Times" w:eastAsia="Times" w:hAnsi="Times" w:cs="Times"/>
          <w:sz w:val="24"/>
          <w:szCs w:val="24"/>
        </w:rPr>
        <w:t>.</w:t>
      </w:r>
    </w:p>
    <w:p w14:paraId="060025E6"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Santos RLT, Peng J, Macdonald C, Ounis I.</w:t>
      </w:r>
      <w:r>
        <w:rPr>
          <w:rFonts w:ascii="Times" w:eastAsia="Times" w:hAnsi="Times" w:cs="Times"/>
          <w:sz w:val="24"/>
          <w:szCs w:val="24"/>
        </w:rPr>
        <w:t xml:space="preserve"> 2010. Explicit search result diversification through sub-queries. </w:t>
      </w:r>
      <w:r>
        <w:rPr>
          <w:rFonts w:ascii="Times" w:eastAsia="Times" w:hAnsi="Times" w:cs="Times"/>
          <w:i/>
          <w:iCs/>
          <w:sz w:val="24"/>
          <w:szCs w:val="24"/>
        </w:rPr>
        <w:t>Advances in Information Retrieval (ECIR 2010), Lecture Notes in Computer Science</w:t>
      </w:r>
      <w:r>
        <w:rPr>
          <w:rFonts w:ascii="Times" w:eastAsia="Times" w:hAnsi="Times" w:cs="Times"/>
          <w:sz w:val="24"/>
          <w:szCs w:val="24"/>
        </w:rPr>
        <w:t xml:space="preserve"> 5993:87–99</w:t>
      </w:r>
      <w:hyperlink r:id="rId25">
        <w:r>
          <w:rPr>
            <w:rFonts w:ascii="Times" w:eastAsia="Times" w:hAnsi="Times" w:cs="Times"/>
            <w:sz w:val="24"/>
            <w:szCs w:val="24"/>
          </w:rPr>
          <w:t xml:space="preserve"> </w:t>
        </w:r>
      </w:hyperlink>
      <w:hyperlink r:id="rId26">
        <w:r>
          <w:rPr>
            <w:rFonts w:ascii="Times" w:eastAsia="Times" w:hAnsi="Times" w:cs="Times"/>
            <w:color w:val="1155CC"/>
            <w:sz w:val="24"/>
            <w:szCs w:val="24"/>
          </w:rPr>
          <w:t>DOI 10.1007/978-3-642-12275-0_1</w:t>
        </w:r>
      </w:hyperlink>
      <w:r>
        <w:rPr>
          <w:rFonts w:ascii="Times" w:eastAsia="Times" w:hAnsi="Times" w:cs="Times"/>
          <w:sz w:val="24"/>
          <w:szCs w:val="24"/>
        </w:rPr>
        <w:t>.</w:t>
      </w:r>
    </w:p>
    <w:p w14:paraId="4EBAA83E"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Schein AI, Popescul A, Ungar LH, Pennock DM.</w:t>
      </w:r>
      <w:r>
        <w:rPr>
          <w:rFonts w:ascii="Times" w:eastAsia="Times" w:hAnsi="Times" w:cs="Times"/>
          <w:sz w:val="24"/>
          <w:szCs w:val="24"/>
        </w:rPr>
        <w:t xml:space="preserve"> 2002. Methods and metrics for cold-start recommendations. 25th Annual International ACM SIGIR Conference on Research and Development in Information Retrieval (SIGIR '02) 253-260. </w:t>
      </w:r>
      <w:hyperlink r:id="rId27">
        <w:r>
          <w:rPr>
            <w:rFonts w:ascii="Times" w:eastAsia="Times" w:hAnsi="Times" w:cs="Times"/>
            <w:color w:val="1155CC"/>
            <w:sz w:val="24"/>
            <w:szCs w:val="24"/>
          </w:rPr>
          <w:t>DOI 10.1145/564376.564421.</w:t>
        </w:r>
      </w:hyperlink>
    </w:p>
    <w:p w14:paraId="69D53B7F"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Shannon CE.</w:t>
      </w:r>
      <w:r>
        <w:rPr>
          <w:rFonts w:ascii="Times" w:eastAsia="Times" w:hAnsi="Times" w:cs="Times"/>
          <w:sz w:val="24"/>
          <w:szCs w:val="24"/>
        </w:rPr>
        <w:t xml:space="preserve"> 1948. A mathematical theory of communication. The Bell System Technical Journal 27(3): 379-423. </w:t>
      </w:r>
      <w:hyperlink r:id="rId28">
        <w:r>
          <w:rPr>
            <w:rFonts w:ascii="Times" w:eastAsia="Times" w:hAnsi="Times" w:cs="Times"/>
            <w:color w:val="1155CC"/>
            <w:sz w:val="24"/>
            <w:szCs w:val="24"/>
          </w:rPr>
          <w:t>DOI 10.1002/j.1538-7305.1948.tb01338.x</w:t>
        </w:r>
      </w:hyperlink>
    </w:p>
    <w:p w14:paraId="34586356" w14:textId="77777777" w:rsidR="00D56233" w:rsidRDefault="00000000">
      <w:r>
        <w:rPr>
          <w:b/>
        </w:rPr>
        <w:t xml:space="preserve">Shiino H, Ariu K, Abe K, Togashi R. </w:t>
      </w:r>
      <w:r>
        <w:t>2023. Exploration of unranked items in safe online learning to re-rank. SIGIR:1991–1995. DOI 10.1145/3539618.3591985.</w:t>
      </w:r>
    </w:p>
    <w:p w14:paraId="3DE798CF"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Singh A, Joachims T.</w:t>
      </w:r>
      <w:r>
        <w:rPr>
          <w:rFonts w:ascii="Times" w:eastAsia="Times" w:hAnsi="Times" w:cs="Times"/>
          <w:sz w:val="24"/>
          <w:szCs w:val="24"/>
        </w:rPr>
        <w:t xml:space="preserve"> 2018. Fairness of exposure in rankings. </w:t>
      </w:r>
      <w:r>
        <w:rPr>
          <w:rFonts w:ascii="Times" w:eastAsia="Times" w:hAnsi="Times" w:cs="Times"/>
          <w:i/>
          <w:iCs/>
          <w:sz w:val="24"/>
          <w:szCs w:val="24"/>
        </w:rPr>
        <w:t>24th ACM SIGKDD International Conference on Knowledge Discovery &amp; Data Mining (KDD ’18)</w:t>
      </w:r>
      <w:hyperlink r:id="rId29">
        <w:r>
          <w:rPr>
            <w:rFonts w:ascii="Times" w:eastAsia="Times" w:hAnsi="Times" w:cs="Times"/>
            <w:sz w:val="24"/>
            <w:szCs w:val="24"/>
          </w:rPr>
          <w:t xml:space="preserve"> </w:t>
        </w:r>
      </w:hyperlink>
      <w:hyperlink r:id="rId30">
        <w:r>
          <w:rPr>
            <w:rFonts w:ascii="Times" w:eastAsia="Times" w:hAnsi="Times" w:cs="Times"/>
            <w:color w:val="1155CC"/>
            <w:sz w:val="24"/>
            <w:szCs w:val="24"/>
          </w:rPr>
          <w:t>DOI 10.1145/3219819.3220088</w:t>
        </w:r>
      </w:hyperlink>
      <w:r>
        <w:rPr>
          <w:rFonts w:ascii="Times" w:eastAsia="Times" w:hAnsi="Times" w:cs="Times"/>
          <w:sz w:val="24"/>
          <w:szCs w:val="24"/>
        </w:rPr>
        <w:t>.</w:t>
      </w:r>
    </w:p>
    <w:p w14:paraId="78DE0A5F"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Sutton RS, Barto AG.</w:t>
      </w:r>
      <w:r>
        <w:rPr>
          <w:rFonts w:ascii="Times" w:eastAsia="Times" w:hAnsi="Times" w:cs="Times"/>
          <w:sz w:val="24"/>
          <w:szCs w:val="24"/>
        </w:rPr>
        <w:t xml:space="preserve"> 2018. </w:t>
      </w:r>
      <w:hyperlink r:id="rId31">
        <w:r>
          <w:rPr>
            <w:rFonts w:ascii="Times" w:eastAsia="Times" w:hAnsi="Times" w:cs="Times"/>
            <w:color w:val="1155CC"/>
            <w:sz w:val="24"/>
            <w:szCs w:val="24"/>
          </w:rPr>
          <w:t>Reinforcement Learning: An Introduction (2nd ed.).</w:t>
        </w:r>
      </w:hyperlink>
      <w:r>
        <w:rPr>
          <w:rFonts w:ascii="Times" w:eastAsia="Times" w:hAnsi="Times" w:cs="Times"/>
          <w:sz w:val="24"/>
          <w:szCs w:val="24"/>
        </w:rPr>
        <w:t xml:space="preserve"> MIT Press.</w:t>
      </w:r>
    </w:p>
    <w:p w14:paraId="7940E228" w14:textId="77777777" w:rsidR="00D56233" w:rsidRDefault="00000000">
      <w:pPr>
        <w:spacing w:before="240" w:after="240" w:line="240" w:lineRule="auto"/>
        <w:rPr>
          <w:rFonts w:ascii="Times" w:eastAsia="Times" w:hAnsi="Times" w:cs="Times"/>
          <w:sz w:val="24"/>
          <w:szCs w:val="24"/>
        </w:rPr>
      </w:pPr>
      <w:r>
        <w:rPr>
          <w:b/>
        </w:rPr>
        <w:t xml:space="preserve">Swaminathan A, Joachims T. </w:t>
      </w:r>
      <w:r>
        <w:t>2015. Batch learning from logged bandit feedback through counterfactual risk minimization. Journal of Machine Learning Research 16: 1731-1755. https://jmlr.org/papers/v16/swaminathan15a.html.</w:t>
      </w:r>
    </w:p>
    <w:p w14:paraId="49311E47" w14:textId="77777777" w:rsidR="00D56233" w:rsidRDefault="00000000">
      <w:r>
        <w:rPr>
          <w:b/>
        </w:rPr>
        <w:t xml:space="preserve">Wang D, Jiao J, Bhadury A, Zhang Y, Gao M, Dalal O. </w:t>
      </w:r>
      <w:r>
        <w:t>2025. Item-centric exploration for cold start problem. arXiv preprint. DOI 10.48550/arXiv.2507.09423.</w:t>
      </w:r>
    </w:p>
    <w:p w14:paraId="7C636C78" w14:textId="77777777" w:rsidR="00D56233" w:rsidRDefault="00000000">
      <w:r>
        <w:rPr>
          <w:b/>
        </w:rPr>
        <w:t xml:space="preserve">Webber W, Moffat A, Zobel J. </w:t>
      </w:r>
      <w:r>
        <w:t>2010. A similarity measure for indefinite rankings. ACM Transactions on Information Systems 28(4), article 20. DOI 10.1145/1852102.1852106.</w:t>
      </w:r>
    </w:p>
    <w:p w14:paraId="0D454044"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Yandex.</w:t>
      </w:r>
      <w:r>
        <w:rPr>
          <w:rFonts w:ascii="Times" w:eastAsia="Times" w:hAnsi="Times" w:cs="Times"/>
          <w:sz w:val="24"/>
          <w:szCs w:val="24"/>
        </w:rPr>
        <w:t xml:space="preserve"> 2013. Personalized Web Search Challenge. </w:t>
      </w:r>
      <w:r>
        <w:rPr>
          <w:rFonts w:ascii="Times" w:eastAsia="Times" w:hAnsi="Times" w:cs="Times"/>
          <w:i/>
          <w:iCs/>
          <w:sz w:val="24"/>
          <w:szCs w:val="24"/>
        </w:rPr>
        <w:t>Kaggle</w:t>
      </w:r>
      <w:r>
        <w:rPr>
          <w:rFonts w:ascii="Times" w:eastAsia="Times" w:hAnsi="Times" w:cs="Times"/>
          <w:sz w:val="24"/>
          <w:szCs w:val="24"/>
        </w:rPr>
        <w:t>. Available at</w:t>
      </w:r>
      <w:hyperlink r:id="rId32">
        <w:r>
          <w:rPr>
            <w:rFonts w:ascii="Times" w:eastAsia="Times" w:hAnsi="Times" w:cs="Times"/>
            <w:sz w:val="24"/>
            <w:szCs w:val="24"/>
          </w:rPr>
          <w:t xml:space="preserve"> </w:t>
        </w:r>
      </w:hyperlink>
      <w:hyperlink r:id="rId33">
        <w:r>
          <w:rPr>
            <w:rFonts w:ascii="Times" w:eastAsia="Times" w:hAnsi="Times" w:cs="Times"/>
            <w:color w:val="1155CC"/>
            <w:sz w:val="24"/>
            <w:szCs w:val="24"/>
          </w:rPr>
          <w:t>https://www.kaggle.com/c/yandex-personalized-web-search-challenge</w:t>
        </w:r>
      </w:hyperlink>
      <w:r>
        <w:rPr>
          <w:rFonts w:ascii="Times" w:eastAsia="Times" w:hAnsi="Times" w:cs="Times"/>
          <w:sz w:val="24"/>
          <w:szCs w:val="24"/>
        </w:rPr>
        <w:t>.</w:t>
      </w:r>
    </w:p>
    <w:p w14:paraId="34BF302B" w14:textId="77777777" w:rsidR="00D56233" w:rsidRDefault="00000000">
      <w:pPr>
        <w:spacing w:before="240" w:after="240" w:line="240" w:lineRule="auto"/>
        <w:rPr>
          <w:rFonts w:ascii="Times" w:eastAsia="Times" w:hAnsi="Times" w:cs="Times"/>
          <w:sz w:val="24"/>
          <w:szCs w:val="24"/>
        </w:rPr>
      </w:pPr>
      <w:r>
        <w:rPr>
          <w:rFonts w:ascii="Times" w:eastAsia="Times" w:hAnsi="Times" w:cs="Times"/>
          <w:b/>
          <w:bCs/>
          <w:sz w:val="24"/>
          <w:szCs w:val="24"/>
        </w:rPr>
        <w:t>Zhu Z, Kim J, Nguyen T, Fenton A, Caverlee J.</w:t>
      </w:r>
      <w:r>
        <w:rPr>
          <w:rFonts w:ascii="Times" w:eastAsia="Times" w:hAnsi="Times" w:cs="Times"/>
          <w:sz w:val="24"/>
          <w:szCs w:val="24"/>
        </w:rPr>
        <w:t xml:space="preserve"> 2021. Fairness among new items in cold start recommender systems. </w:t>
      </w:r>
      <w:r>
        <w:rPr>
          <w:rFonts w:ascii="Times" w:eastAsia="Times" w:hAnsi="Times" w:cs="Times"/>
          <w:i/>
          <w:iCs/>
          <w:sz w:val="24"/>
          <w:szCs w:val="24"/>
        </w:rPr>
        <w:t>44th International ACM SIGIR Conference on Research and Development in Information Retrieval (SIGIR ’21)</w:t>
      </w:r>
      <w:hyperlink r:id="rId34">
        <w:r>
          <w:rPr>
            <w:rFonts w:ascii="Times" w:eastAsia="Times" w:hAnsi="Times" w:cs="Times"/>
            <w:sz w:val="24"/>
            <w:szCs w:val="24"/>
          </w:rPr>
          <w:t xml:space="preserve"> </w:t>
        </w:r>
      </w:hyperlink>
      <w:hyperlink r:id="rId35">
        <w:r>
          <w:rPr>
            <w:rFonts w:ascii="Times" w:eastAsia="Times" w:hAnsi="Times" w:cs="Times"/>
            <w:color w:val="1155CC"/>
            <w:sz w:val="24"/>
            <w:szCs w:val="24"/>
          </w:rPr>
          <w:t>DOI 10.1145/3404835.3462948</w:t>
        </w:r>
      </w:hyperlink>
      <w:r>
        <w:rPr>
          <w:rFonts w:ascii="Times" w:eastAsia="Times" w:hAnsi="Times" w:cs="Times"/>
          <w:sz w:val="24"/>
          <w:szCs w:val="24"/>
        </w:rPr>
        <w:t>.</w:t>
      </w:r>
    </w:p>
    <w:sectPr w:rsidR="00D56233">
      <w:pgSz w:w="12240" w:h="15840"/>
      <w:pgMar w:top="1440" w:right="1440" w:bottom="1440" w:left="1440" w:header="720" w:footer="720" w:gutter="0"/>
      <w:lnNumType w:countBy="1" w:distance="240"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32A1DC0D-EFE3-499E-A65D-D73684D21E3E}"/>
    <w:embedBold r:id="rId2" w:fontKey="{D1A15F26-46FD-4071-89A7-07C3FE5DF9BC}"/>
    <w:embedItalic r:id="rId3" w:fontKey="{A96C7153-EDFE-46E4-88E6-3CCC5AD79BAD}"/>
  </w:font>
  <w:font w:name="Cambria Math">
    <w:panose1 w:val="02040503050406030204"/>
    <w:charset w:val="00"/>
    <w:family w:val="roman"/>
    <w:pitch w:val="variable"/>
    <w:sig w:usb0="E00006FF" w:usb1="420024FF" w:usb2="02000000" w:usb3="00000000" w:csb0="0000019F" w:csb1="00000000"/>
    <w:embedItalic r:id="rId4" w:fontKey="{739F50D8-D21A-46FB-860F-01C9DC514BC9}"/>
  </w:font>
  <w:font w:name="Calibri">
    <w:panose1 w:val="020F0502020204030204"/>
    <w:charset w:val="00"/>
    <w:family w:val="swiss"/>
    <w:pitch w:val="variable"/>
    <w:sig w:usb0="E4002EFF" w:usb1="C200247B" w:usb2="00000009" w:usb3="00000000" w:csb0="000001FF" w:csb1="00000000"/>
    <w:embedRegular r:id="rId5" w:fontKey="{E932D60B-E256-4BFA-A8A8-40F0ACE934FC}"/>
  </w:font>
  <w:font w:name="Cambria">
    <w:panose1 w:val="02040503050406030204"/>
    <w:charset w:val="00"/>
    <w:family w:val="roman"/>
    <w:pitch w:val="variable"/>
    <w:sig w:usb0="E00006FF" w:usb1="420024FF" w:usb2="02000000" w:usb3="00000000" w:csb0="0000019F" w:csb1="00000000"/>
    <w:embedRegular r:id="rId6" w:fontKey="{879E3608-E15B-4401-A374-7031735798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CFF"/>
    <w:multiLevelType w:val="multilevel"/>
    <w:tmpl w:val="9E2EF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37840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233"/>
    <w:rsid w:val="00310C95"/>
    <w:rsid w:val="005D7BD4"/>
    <w:rsid w:val="009C67EB"/>
    <w:rsid w:val="00D56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7A27"/>
  <w15:docId w15:val="{12A6DE89-81CC-4E86-8E1E-74D64F5A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customStyle="1" w:styleId="Normal1">
    <w:name w:val="Normal1"/>
    <w:rsid w:val="00B77860"/>
    <w:rPr>
      <w:rFonts w:ascii="Times New Roman" w:hAnsi="Times New Roman"/>
    </w:rPr>
  </w:style>
  <w:style w:type="paragraph" w:styleId="ListParagraph">
    <w:name w:val="List Paragraph"/>
    <w:basedOn w:val="Normal"/>
    <w:rsid w:val="00FD22BE"/>
    <w:pPr>
      <w:ind w:left="720"/>
    </w:pPr>
  </w:style>
  <w:style w:type="table" w:styleId="TableGrid">
    <w:name w:val="Table Grid"/>
    <w:basedOn w:val="TableNormal"/>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AA18ED"/>
    <w:pPr>
      <w:spacing w:beforeLines="1" w:afterLines="1" w:line="240" w:lineRule="auto"/>
    </w:pPr>
    <w:rPr>
      <w:rFonts w:cs="Times New Roman"/>
      <w:sz w:val="20"/>
      <w:szCs w:val="20"/>
    </w:rPr>
  </w:style>
  <w:style w:type="character" w:styleId="LineNumber">
    <w:name w:val="line number"/>
    <w:basedOn w:val="DefaultParagraphFont"/>
    <w:rsid w:val="00932E96"/>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366424.3382705" TargetMode="External"/><Relationship Id="rId18" Type="http://schemas.openxmlformats.org/officeDocument/2006/relationships/hyperlink" Target="https://doi.org/10.1145/1076034.1076063" TargetMode="External"/><Relationship Id="rId26" Type="http://schemas.openxmlformats.org/officeDocument/2006/relationships/hyperlink" Target="https://doi.org/10.1007/978-3-642-12275-0_1" TargetMode="External"/><Relationship Id="rId21" Type="http://schemas.openxmlformats.org/officeDocument/2006/relationships/hyperlink" Target="https://doi.org/10.1145/3340531.3412152" TargetMode="External"/><Relationship Id="rId34" Type="http://schemas.openxmlformats.org/officeDocument/2006/relationships/hyperlink" Target="https://doi.org/10.1145/3404835.3462948" TargetMode="External"/><Relationship Id="rId7" Type="http://schemas.openxmlformats.org/officeDocument/2006/relationships/hyperlink" Target="https://doi.org/10.1145/1498759.1498766" TargetMode="External"/><Relationship Id="rId12" Type="http://schemas.openxmlformats.org/officeDocument/2006/relationships/hyperlink" Target="https://doi.org/10.1145/3366424.3382705" TargetMode="External"/><Relationship Id="rId17" Type="http://schemas.openxmlformats.org/officeDocument/2006/relationships/hyperlink" Target="https://doi.org/10.1145/2505515.2505665" TargetMode="External"/><Relationship Id="rId25" Type="http://schemas.openxmlformats.org/officeDocument/2006/relationships/hyperlink" Target="https://doi.org/10.1007/978-3-642-12275-0_1" TargetMode="External"/><Relationship Id="rId33" Type="http://schemas.openxmlformats.org/officeDocument/2006/relationships/hyperlink" Target="https://www.kaggle.com/c/yandex-personalized-web-search-challenge" TargetMode="External"/><Relationship Id="rId2" Type="http://schemas.openxmlformats.org/officeDocument/2006/relationships/numbering" Target="numbering.xml"/><Relationship Id="rId16" Type="http://schemas.openxmlformats.org/officeDocument/2006/relationships/hyperlink" Target="https://doi.org/10.1145/3511808.3557066" TargetMode="External"/><Relationship Id="rId20" Type="http://schemas.openxmlformats.org/officeDocument/2006/relationships/hyperlink" Target="https://doi.org/10.1145/3340531.3412152" TargetMode="External"/><Relationship Id="rId29" Type="http://schemas.openxmlformats.org/officeDocument/2006/relationships/hyperlink" Target="https://doi.org/10.1145/3219819.3220088" TargetMode="External"/><Relationship Id="rId1" Type="http://schemas.openxmlformats.org/officeDocument/2006/relationships/customXml" Target="../customXml/item1.xml"/><Relationship Id="rId6" Type="http://schemas.openxmlformats.org/officeDocument/2006/relationships/hyperlink" Target="https://doi.org/10.1145/1498759.1498766" TargetMode="External"/><Relationship Id="rId11" Type="http://schemas.openxmlformats.org/officeDocument/2006/relationships/hyperlink" Target="https://doi.org/10.2200/S00654ED1V01Y201507ICR043" TargetMode="External"/><Relationship Id="rId24" Type="http://schemas.openxmlformats.org/officeDocument/2006/relationships/hyperlink" Target="https://doi.org/10.1145/3397271.3401100" TargetMode="External"/><Relationship Id="rId32" Type="http://schemas.openxmlformats.org/officeDocument/2006/relationships/hyperlink" Target="https://www.kaggle.com/c/yandex-personalized-web-search-challeng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5/3511808.3557066" TargetMode="External"/><Relationship Id="rId23" Type="http://schemas.openxmlformats.org/officeDocument/2006/relationships/hyperlink" Target="https://doi.org/10.1145/3397271.3401100" TargetMode="External"/><Relationship Id="rId28" Type="http://schemas.openxmlformats.org/officeDocument/2006/relationships/hyperlink" Target="https://doi.org/10.1002/j.1538-7305.1948.tb01338.x" TargetMode="External"/><Relationship Id="rId36" Type="http://schemas.openxmlformats.org/officeDocument/2006/relationships/fontTable" Target="fontTable.xml"/><Relationship Id="rId10" Type="http://schemas.openxmlformats.org/officeDocument/2006/relationships/hyperlink" Target="https://doi.org/10.1145/290941.291025" TargetMode="External"/><Relationship Id="rId19" Type="http://schemas.openxmlformats.org/officeDocument/2006/relationships/hyperlink" Target="https://doi.org/10.1561/1500000016" TargetMode="External"/><Relationship Id="rId31" Type="http://schemas.openxmlformats.org/officeDocument/2006/relationships/hyperlink" Target="http://incompleteideas.net/book/the-book-2nd.html" TargetMode="External"/><Relationship Id="rId4" Type="http://schemas.openxmlformats.org/officeDocument/2006/relationships/settings" Target="settings.xml"/><Relationship Id="rId9" Type="http://schemas.openxmlformats.org/officeDocument/2006/relationships/hyperlink" Target="https://doi.org/10.1145/290941.291025" TargetMode="External"/><Relationship Id="rId14" Type="http://schemas.openxmlformats.org/officeDocument/2006/relationships/hyperlink" Target="https://doi.org/10.1145/3159652.3159687" TargetMode="External"/><Relationship Id="rId22" Type="http://schemas.openxmlformats.org/officeDocument/2006/relationships/hyperlink" Target="https://doi.org/10.1017/CBO9780511809071" TargetMode="External"/><Relationship Id="rId27" Type="http://schemas.openxmlformats.org/officeDocument/2006/relationships/hyperlink" Target="https://doi.org/10.1145/564376.564421" TargetMode="External"/><Relationship Id="rId30" Type="http://schemas.openxmlformats.org/officeDocument/2006/relationships/hyperlink" Target="https://doi.org/10.1145/3219819.3220088" TargetMode="External"/><Relationship Id="rId35" Type="http://schemas.openxmlformats.org/officeDocument/2006/relationships/hyperlink" Target="https://doi.org/10.1145/3404835.3462948" TargetMode="External"/><Relationship Id="rId8" Type="http://schemas.openxmlformats.org/officeDocument/2006/relationships/hyperlink" Target="https://doi.org/10.1023/A:1013689704352"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6brntN45GNiTF/bnUsTAEwEGwg==">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6750</Words>
  <Characters>38481</Characters>
  <Application>Microsoft Office Word</Application>
  <DocSecurity>0</DocSecurity>
  <Lines>320</Lines>
  <Paragraphs>90</Paragraphs>
  <ScaleCrop>false</ScaleCrop>
  <Company/>
  <LinksUpToDate>false</LinksUpToDate>
  <CharactersWithSpaces>45141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Bhargavi Bandaru</cp:lastModifiedBy>
  <cp:revision>3</cp:revision>
  <dcterms:created xsi:type="dcterms:W3CDTF">2018-09-06T06:29:00Z</dcterms:created>
  <dcterms:modified xsi:type="dcterms:W3CDTF">2026-09-11T22:19:00Z</dcterms:modified>
</cp:coreProperties>
</file>