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Figure legends</w:t>
      </w:r>
    </w:p>
    <w:p>
      <w:r>
        <w:t>Figure 1. Corrected simulation discovery and quality across cold-start penalties. (a) Document-level coverage; (b) NDCG@10 over all 2,000 timesteps. Points are means and error bars are sample standard deviations across the same 20 held-out seeds (1000–1019) per strategy and penalty. Each seed has 100 queries, 1,000 documents including 200 new arrivals at timestep 1,000, and one ten-result list per timestep. PBM settings are a=3 and b=0.35. All nonbaseline strategies use λ=0.4, η=0.65, m=2, L=50, α=0.5 and τ=50; the baseline has λ=0. Candidate gating and protected prefixes are shared. Coverage means a click on a new document relevant to at least one query; query-matched relevance is reported separately in the supplementary results.</w:t>
      </w:r>
    </w:p>
    <w:p>
      <w:r>
        <w:t>Figure 2. Validation trade-offs used to choose exploration strength. Panels (a) and (b) show penalties 0.15 and 0.30, respectively. Each point is a paired mean difference from the baseline over ten validation seeds (100–109), with horizontal and vertical 95% Student-t confidence intervals. Labels identify λ in {0.1,0.2,0.3,0.4}; η=0.65, m=2, L=50, α=0.5 and τ=50 are fixed. Each seed uses 2,000 timesteps and the standard PBM simulator. The dashed line marks the −0.01 mean-NDCG selection threshold; it is not a per-query guarantee. These are validation results, not held-out test results or a proven Pareto frontier.</w:t>
      </w:r>
    </w:p>
    <w:p>
      <w:r>
        <w:t>Figure 3. Stress tests of (a) coverage and (b) NDCG@10 at penalty 0.30. Points are means and error bars are sample standard deviations over 20 held-out seeds per condition. λ=0.4, η=0.65, m=2, L=50, α=0.5 and τ=50 are fixed. Standard, cascade, noisy, stronger position bias, heterogeneous frequency/bias, navigational, sparse-query, delayed-feedback and naturally varying relevance conditions are defined in Section 3.4. Every run has 2,000 timesteps; sparse runs have 1,000 queries, and the other runs have 100. These tests evaluate specified synthetic conditions, not a population of real search intents.</w:t>
      </w:r>
    </w:p>
    <w:p>
      <w:r>
        <w:t>Figure 4. Corrected page-level Yandex logged-support diagnostic. The sample contains 372,282 labeled ten-result pages from the first 200,000 complete sessions in train.gz. (a) Exact-list, set-match and click-preservation rates; the latter two are identically 100% because all ten logged candidates are retained, and do not demonstrate cold-start discovery. (b) Mean number of changed positions per page and mean absolute document rank shift, with 95% session-cluster bootstrap confidence intervals (2,000 resamples; seed 20260911); intervals may be narrower than the plotted caps. λ=0.4, η=0.65, m=2, α=0.5 and τ=50; the available candidate count is ten, not 50. Counters use only prior logged events. Reordered click labels are descriptive proxies, not estimates of live engagement.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