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Table titles and notes</w:t>
      </w:r>
    </w:p>
    <w:p>
      <w:pPr>
        <w:pStyle w:val="Heading1"/>
      </w:pPr>
      <w:r>
        <w:t>Table 1</w:t>
      </w:r>
    </w:p>
    <w:p>
      <w:r>
        <w:rPr>
          <w:b/>
        </w:rPr>
        <w:t>Title</w:t>
      </w:r>
    </w:p>
    <w:p>
      <w:r>
        <w:t>Table 1 Validation operating points and held-out confirmation</w:t>
      </w:r>
    </w:p>
    <w:p>
      <w:r>
        <w:rPr>
          <w:b/>
        </w:rPr>
        <w:t>Note for the upload form</w:t>
      </w:r>
    </w:p>
    <w:p>
      <w:r>
        <w:t>Paired differences are EDE minus baseline. Validation uses ten seeds (100–109); held-out confirmation uses 20 disjoint seeds. Student-t 95% CIs are nominal. λ=0.4 maximizes mean validation coverage gain while the lower ΔNDCG bound is at least −0.01 at both penalties. Other defaults are fixed as in Section 3.3. The threshold does not guarantee per-query quality.</w:t>
      </w:r>
    </w:p>
    <w:p>
      <w:r>
        <w:br w:type="page"/>
      </w:r>
    </w:p>
    <w:p>
      <w:pPr>
        <w:pStyle w:val="Heading1"/>
      </w:pPr>
      <w:r>
        <w:t>Table 2</w:t>
      </w:r>
    </w:p>
    <w:p>
      <w:r>
        <w:rPr>
          <w:b/>
        </w:rPr>
        <w:t>Title</w:t>
      </w:r>
    </w:p>
    <w:p>
      <w:r>
        <w:t>Table 2 Strategy comparison across difficulty levels</w:t>
      </w:r>
    </w:p>
    <w:p>
      <w:r>
        <w:rPr>
          <w:b/>
        </w:rPr>
        <w:t>Note for the upload form</w:t>
      </w:r>
    </w:p>
    <w:p>
      <w:r>
        <w:t>Cells show absolute new-document coverage, mean ± SD (20 seeds). The three strategy bands form one table with a shared penalty grid; baseline appears once. All scoring comparators share the prefix and gate. UCB, Thompson, local-swap and quota are defined heuristics, not full published algorithms. Defaults are as in Section 3.3. NDCG, TTF, CTR, unique exposure and all paired tests remain in the archived CSVs.</w:t>
      </w:r>
    </w:p>
    <w:p>
      <w:r>
        <w:br w:type="page"/>
      </w:r>
    </w:p>
    <w:p>
      <w:pPr>
        <w:pStyle w:val="Heading1"/>
      </w:pPr>
      <w:r>
        <w:t>Table 3</w:t>
      </w:r>
    </w:p>
    <w:p>
      <w:r>
        <w:rPr>
          <w:b/>
        </w:rPr>
        <w:t>Title</w:t>
      </w:r>
    </w:p>
    <w:p>
      <w:r>
        <w:t>Table 3 Sensitivity to novelty weight and prefix length</w:t>
      </w:r>
    </w:p>
    <w:p>
      <w:r>
        <w:rPr>
          <w:b/>
        </w:rPr>
        <w:t>Note for the upload form</w:t>
      </w:r>
    </w:p>
    <w:p>
      <w:r>
        <w:t>Original Tables 3–6 are consolidated into columns (a)–(d); columns (e)–(f) add p=0.40. Values are mean ± sample SD over 20 held-out seeds. λ=0.4, L=50, α=0.5 and τ=50 are fixed. η and m are varied jointly on the displayed grid; these are sensitivity tests, not further parameter selection.</w:t>
      </w:r>
    </w:p>
    <w:p>
      <w:r>
        <w:br w:type="page"/>
      </w:r>
    </w:p>
    <w:p>
      <w:pPr>
        <w:pStyle w:val="Heading1"/>
      </w:pPr>
      <w:r>
        <w:t>Table 4</w:t>
      </w:r>
    </w:p>
    <w:p>
      <w:r>
        <w:rPr>
          <w:b/>
        </w:rPr>
        <w:t>Title</w:t>
      </w:r>
    </w:p>
    <w:p>
      <w:r>
        <w:t>Table 4 Ablations and disruption diagnostics</w:t>
      </w:r>
    </w:p>
    <w:p>
      <w:r>
        <w:rPr>
          <w:b/>
        </w:rPr>
        <w:t>Note for the upload form</w:t>
      </w:r>
    </w:p>
    <w:p>
      <w:r>
        <w:t>Values are mean ± sample SD (20 seeds). Defaults are as in Section 3.3 unless ablated. No decay holds N=1 and also removes its complementary refinement weight. RBO uses persistence 0.9; Kendall uses shared items. Loss fractions exceed 0.01 NDCG loss; worst query is the minimum query-mean delta. Promoted relevance is continuous; promoted relevant fraction is binary and both condition on promotions. New exposure share is discounted item-age exposure, not provider fairness. Additional metrics and p=0.40 diagnostics remain in the archived CSVs.</w:t>
      </w:r>
    </w:p>
    <w:p>
      <w:r>
        <w:br w:type="page"/>
      </w:r>
    </w:p>
    <w:p>
      <w:pPr>
        <w:pStyle w:val="Heading1"/>
      </w:pPr>
      <w:r>
        <w:t>Table 5</w:t>
      </w:r>
    </w:p>
    <w:p>
      <w:r>
        <w:rPr>
          <w:b/>
        </w:rPr>
        <w:t>Title</w:t>
      </w:r>
    </w:p>
    <w:p>
      <w:r>
        <w:t>Table 5 Stress conditions with held-out uncertainty</w:t>
      </w:r>
    </w:p>
    <w:p>
      <w:r>
        <w:rPr>
          <w:b/>
        </w:rPr>
        <w:t>Note for the upload form</w:t>
      </w:r>
    </w:p>
    <w:p>
      <w:r>
        <w:t>Penalty p=0.30. Test values are mean ± sample SD over 20 held-out seeds (1000–1019). Defaults: λ=0.4, η=0.65, m=2, L=50, α=0.5, τ=50; baseline λ=0. Full per-seed results and paired tests are in the archived CSVs. Conditions are defined in Section 3.4. Coverage denominators can differ between conditions. TTF, CTR, unique exposure and additional diagnostics remain in the archived CSVs.</w:t>
      </w:r>
    </w:p>
    <w:p>
      <w:r>
        <w:br w:type="page"/>
      </w:r>
    </w:p>
    <w:p>
      <w:pPr>
        <w:pStyle w:val="Heading1"/>
      </w:pPr>
      <w:r>
        <w:t>Table 6</w:t>
      </w:r>
    </w:p>
    <w:p>
      <w:r>
        <w:rPr>
          <w:b/>
        </w:rPr>
        <w:t>Title</w:t>
      </w:r>
    </w:p>
    <w:p>
      <w:r>
        <w:t>Table 6 Corrected Yandex logged-support diagnostics</w:t>
      </w:r>
    </w:p>
    <w:p>
      <w:r>
        <w:rPr>
          <w:b/>
        </w:rPr>
        <w:t>Note for the upload form</w:t>
      </w:r>
    </w:p>
    <w:p>
      <w:r>
        <w:t>Means [95% CI] use 2,000 whole-session bootstrap resamples, seed 20260911. The sample is 372,282 pages from the first 200,000 complete Yandex training sessions. EDE uses λ=0.4, η=0.65, m=2, α=0.5 and τ=50 on ten logged candidates. Set-match and click preservation each accept all 372,282 pages (100%); each has zero rejected pages and undefined rejected means. Click preservation permits changed clicked positions. These are descriptive logged-support diagnostics, not causal engagement or real cold-start discovery estimates. Full clicked-position and accepted/rejected metrics are in the archived replay 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