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titles and notes</w:t>
      </w:r>
    </w:p>
    <w:p>
      <w:pPr>
        <w:pStyle w:val="Heading1"/>
      </w:pPr>
      <w:r>
        <w:t>Table 1</w:t>
      </w:r>
    </w:p>
    <w:p>
      <w:r>
        <w:rPr>
          <w:b/>
        </w:rPr>
        <w:t>Title</w:t>
      </w:r>
    </w:p>
    <w:p>
      <w:r>
        <w:t>Table 1 Operating-point selection</w:t>
      </w:r>
    </w:p>
    <w:p>
      <w:r>
        <w:rPr>
          <w:b/>
        </w:rPr>
        <w:t>Note for the upload form</w:t>
      </w:r>
    </w:p>
    <w:p>
      <w:r>
        <w:t>EDE minus baseline. Validation uses seeds 100-109; held-out confirmation uses 20 disjoint seeds (1000-1019). Values are mean [95% CI]. λ=0.4 met the validation selection rule and is used for held-out results; there is no per-query quality guarantee.</w:t>
      </w:r>
    </w:p>
    <w:p>
      <w:r>
        <w:br w:type="page"/>
      </w:r>
    </w:p>
    <w:p>
      <w:pPr>
        <w:pStyle w:val="Heading1"/>
      </w:pPr>
      <w:r>
        <w:t>Table 2</w:t>
      </w:r>
    </w:p>
    <w:p>
      <w:r>
        <w:rPr>
          <w:b/>
        </w:rPr>
        <w:t>Title</w:t>
      </w:r>
    </w:p>
    <w:p>
      <w:r>
        <w:t>Table 2 Strategy comparison</w:t>
      </w:r>
    </w:p>
    <w:p>
      <w:r>
        <w:rPr>
          <w:b/>
        </w:rPr>
        <w:t>Note for the upload form</w:t>
      </w:r>
    </w:p>
    <w:p>
      <w:r>
        <w:t>Coverage mean ± SD over 20 held-out seeds; rows are penalties and columns are strategies. Baseline appears once and all scoring comparators share the prefix and gate. UCB, Thompson, local-swap and quota are defined heuristics. Other metrics and tests are in the archived CSVs.</w:t>
      </w:r>
    </w:p>
    <w:p>
      <w:r>
        <w:br w:type="page"/>
      </w:r>
    </w:p>
    <w:p>
      <w:pPr>
        <w:pStyle w:val="Heading1"/>
      </w:pPr>
      <w:r>
        <w:t>Table 3</w:t>
      </w:r>
    </w:p>
    <w:p>
      <w:r>
        <w:rPr>
          <w:b/>
        </w:rPr>
        <w:t>Title</w:t>
      </w:r>
    </w:p>
    <w:p>
      <w:r>
        <w:t>Table 3 Novelty and prefix sensitivity</w:t>
      </w:r>
    </w:p>
    <w:p>
      <w:r>
        <w:rPr>
          <w:b/>
        </w:rPr>
        <w:t>Note for the upload form</w:t>
      </w:r>
    </w:p>
    <w:p>
      <w:r>
        <w:t>Mean ± SD over 20 held-out seeds. λ=0.4, L=50, α=0.5 and τ=50 are fixed; η and m are varied. Columns (a)-(d) use p=0.15 and 0.30; columns (e)-(f) add p=0.40. These are sensitivity tests, not further tuning.</w:t>
      </w:r>
    </w:p>
    <w:p>
      <w:r>
        <w:br w:type="page"/>
      </w:r>
    </w:p>
    <w:p>
      <w:pPr>
        <w:pStyle w:val="Heading1"/>
      </w:pPr>
      <w:r>
        <w:t>Table 4</w:t>
      </w:r>
    </w:p>
    <w:p>
      <w:r>
        <w:rPr>
          <w:b/>
        </w:rPr>
        <w:t>Title</w:t>
      </w:r>
    </w:p>
    <w:p>
      <w:r>
        <w:t>Table 4 Ablations and disruption</w:t>
      </w:r>
    </w:p>
    <w:p>
      <w:r>
        <w:rPr>
          <w:b/>
        </w:rPr>
        <w:t>Note for the upload form</w:t>
      </w:r>
    </w:p>
    <w:p>
      <w:r>
        <w:t>Mean ± SD over 20 seeds; defaults are as in Section 3.3 unless ablated. No-decay sets N=1. RBO uses persistence 0.9; Kendall uses shared items. Loss fractions exceed ΔNDCG=0.01; worst query is the minimum query-mean ΔNDCG. Promoted relevance is continuous, while promoted relevant fraction is binary. New exposure share is age-discounted, not provider fairness.</w:t>
      </w:r>
    </w:p>
    <w:p>
      <w:r>
        <w:br w:type="page"/>
      </w:r>
    </w:p>
    <w:p>
      <w:pPr>
        <w:pStyle w:val="Heading1"/>
      </w:pPr>
      <w:r>
        <w:t>Table 5</w:t>
      </w:r>
    </w:p>
    <w:p>
      <w:r>
        <w:rPr>
          <w:b/>
        </w:rPr>
        <w:t>Title</w:t>
      </w:r>
    </w:p>
    <w:p>
      <w:r>
        <w:t>Table 5 Stress-test results</w:t>
      </w:r>
    </w:p>
    <w:p>
      <w:r>
        <w:rPr>
          <w:b/>
        </w:rPr>
        <w:t>Note for the upload form</w:t>
      </w:r>
    </w:p>
    <w:p>
      <w:r>
        <w:t>Penalty p=0.30; mean ± SD over 20 held-out seeds (1000-1019). Defaults are λ=0.4, η=0.65, m=2, L=50, α=0.5 and τ=50; baseline λ=0. Conditions are defined in Section 3.4. Coverage denominators vary by condition; full per-seed metrics are in the archived CSVs.</w:t>
      </w:r>
    </w:p>
    <w:p>
      <w:r>
        <w:br w:type="page"/>
      </w:r>
    </w:p>
    <w:p>
      <w:pPr>
        <w:pStyle w:val="Heading1"/>
      </w:pPr>
      <w:r>
        <w:t>Table 6</w:t>
      </w:r>
    </w:p>
    <w:p>
      <w:r>
        <w:rPr>
          <w:b/>
        </w:rPr>
        <w:t>Title</w:t>
      </w:r>
    </w:p>
    <w:p>
      <w:r>
        <w:t>Table 6 Yandex logged-support diagnostics</w:t>
      </w:r>
    </w:p>
    <w:p>
      <w:r>
        <w:rPr>
          <w:b/>
        </w:rPr>
        <w:t>Note for the upload form</w:t>
      </w:r>
    </w:p>
    <w:p>
      <w:r>
        <w:t>Means [95% CI] use 2,000 whole-session bootstrap resamples (seed 20260911). The sample contains 372,282 pages from the first 200,000 complete sessions. EDE uses λ=0.4, η=0.65, m=2, α=0.5 and τ=50 on 10 logged candidates. Set/click preservation accepted all pages by construction; click preservation permits changed clicked positions. This is a logged-support diagnostic, not causal engagement or cold-start evidence.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