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Variant / metric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p=.15</w:t>
              <w:br/>
              <w:t>Coverage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p=.15</w:t>
              <w:br/>
              <w:t>NDCG@10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p=.30</w:t>
              <w:br/>
              <w:t>Coverage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p=.30</w:t>
              <w:br/>
              <w:t>NDCG@10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0.0870 ± 0.0247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0.1793 ± 0.0158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0.0055 ± 0.0062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0.1774 ± 0.0157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Unsmoothed α=0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0.1808 ± 0.0314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0.1768 ± 0.0145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0.0117 ± 0.0068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0.1749 ± 0.0142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 prefix m=0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0.1880 ± 0.0332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0.1762 ± 0.0140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0.0117 ± 0.0076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0.1741 ± 0.0141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Full EDE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0.1856 ± 0.0320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0.1767 ± 0.0144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0.0117 ± 0.0069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0.1748 ± 0.0142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No-decay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0.0870 ± 0.0247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0.1793 ± 0.0158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0.0055 ± 0.0062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0.1774 ± 0.0157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No-gate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0.5917 ± 0.0548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0.1726 ± 0.0126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0.1028 ± 0.0190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0.1688 ± 0.0130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No-normalization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0.2284 ± 0.0414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0.1777 ± 0.0148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0.0175 ± 0.0123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0.1754 ± 0.0148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Unrefined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0.2014 ± 0.0298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0.1778 ± 0.0145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0.0150 ± 0.0086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0.1755 ± 0.0143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Full-EDE diagnostic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p=0.15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p=0.30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RBO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0.814 ± 0.009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0.835 ± 0.009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Kendall distance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0.040 ± 0.003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0.036 ± 0.002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Impression loss fraction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0.273 ± 0.043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0.249 ± 0.040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Query loss fraction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0.327 ± 0.052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0.308 ± 0.046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Worst query ΔNDCG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-0.157 ± 0.030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-0.144 ± 0.028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New exposure share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0.040 ± 0.005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0.002 ± 0.001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Promoted relevance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0.712 ± 0.017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0.729 ± 0.055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Promoted relevant fraction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0.201 ± 0.093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0.178 ± 0.250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Query-matched coverage</w:t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0.075 ± 0.019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56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0.007 ± 0.007</w:t>
            </w:r>
          </w:p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</w:tbl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