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Figure legends</w:t>
      </w:r>
    </w:p>
    <w:p>
      <w:r>
        <w:t>Figure 1. Simulation coverage and NDCG@10 across cold-start penalties. Panels (a) and (b) show coverage and NDCG@10. Values are means ± SD over 20 held-out seeds (1000-1019); each seed has 100 queries, 1,000 documents, 200 arrivals at timestep 1,000, and T=2,000. PBM a=3, b=0.35. Nonbaseline λ=0.4, η=0.65, m=2, L=50, α=0.5, τ=50; baseline λ=0.</w:t>
      </w:r>
    </w:p>
    <w:p>
      <w:r>
        <w:t>Figure 2. Validation trade-off for λ. Panels (a) and (b) use penalties 0.15 and 0.30. Points are paired means versus baseline over 10 validation seeds (100-109); bars are 95% Student-t CIs. Fixed η=0.65, m=2, L=50, α=0.5, τ=50 and T=2,000. Dashed line: ΔNDCG=-0.01.</w:t>
      </w:r>
    </w:p>
    <w:p>
      <w:r>
        <w:t>Figure 3. Stress tests at penalty 0.30. Panels (a) and (b) show coverage and NDCG@10; values are means ± SD over 20 held-out seeds per condition. Fixed λ=0.4, η=0.65, m=2, L=50, α=0.5, τ=50 and T=2,000. Conditions are standard, cascade, noisy, strong-bias, heterogeneous, navigational, sparse, delayed and natural; sparse runs use 1,000 queries and the others use 100.</w:t>
      </w:r>
    </w:p>
    <w:p>
      <w:r>
        <w:t>Figure 4. Yandex logged-support displacement diagnostic. The sample contains 372,282 labeled ten-result pages from the first 200,000 complete sessions. Panel (a) shows acceptance and preservation rates; panel (b) shows changed positions and absolute document rank shift. Means use 95% session-cluster bootstrap CIs (2,000 resamples; seed 20260911). λ=0.4, η=0.65, m=2, α=0.5, τ=50 and 10 logged candidates. Set/click preservation are structural logged-support diagnostics, not cold-start or engagement estimates.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