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</w:t>
      </w:r>
    </w:p>
    <w:p>
      <w:r>
        <w:t xml:space="preserve">The first paragraph has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words.</w:t>
      </w:r>
    </w:p>
    <w:p>
      <w:r>
        <w:drawing>
          <wp:inline xmlns:a="http://schemas.openxmlformats.org/drawingml/2006/main" xmlns:pic="http://schemas.openxmlformats.org/drawingml/2006/picture">
            <wp:extent cx="2540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picture.</w:t>
      </w:r>
    </w:p>
    <w:p>
      <w:pPr>
        <w:pStyle w:val="Heading1"/>
      </w:pPr>
      <w:r>
        <w:t>Chapter Two</w:t>
      </w:r>
    </w:p>
    <w:p>
      <w:pPr>
        <w:pStyle w:val="Heading2"/>
      </w:pPr>
      <w:r>
        <w:t>A Part</w:t>
      </w:r>
    </w:p>
    <w:p>
      <w:r>
        <w:t>Ąžuolas ėjo per šilą.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Formats Test</dc:title>
  <dc:subject/>
  <dc:creator>Ona Rašytoja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lt-LT</dc:language>
</cp:coreProperties>
</file>