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Airline Performance Analysis</w:t>
      </w:r>
    </w:p>
    <w:p>
      <w:pPr>
        <w:pStyle w:val="Heading2"/>
      </w:pPr>
      <w:r>
        <w:t>1. Anomalies in Airline Performance</w:t>
      </w:r>
    </w:p>
    <w:p>
      <w:r>
        <w:t xml:space="preserve">Airline performance can show anomalies due to various operational, economic, and external factors. These anomalies could include sudden dips in passenger load factors, unexpected fluctuations in cargo load, or sharp deviations in fuel efficiency. Key causes of anomalies include: </w:t>
        <w:br/>
        <w:t xml:space="preserve">- Economic downturns affecting passenger demand </w:t>
        <w:br/>
        <w:t xml:space="preserve">- Seasonal variations </w:t>
        <w:br/>
        <w:t xml:space="preserve">- Geopolitical events or natural disasters </w:t>
        <w:br/>
        <w:t xml:space="preserve">- Sudden fuel price surges </w:t>
        <w:br/>
        <w:t>- Operational inefficiencies or flight cancellations.</w:t>
      </w:r>
    </w:p>
    <w:p>
      <w:pPr>
        <w:pStyle w:val="Heading2"/>
      </w:pPr>
      <w:r>
        <w:t>2. Factors Driving Fluctuations in Weight Load Factor</w:t>
      </w:r>
    </w:p>
    <w:p>
      <w:r>
        <w:t xml:space="preserve">The Weight Load Factor (WLF) measures the efficiency of available cargo or passenger capacity utilization. Several factors drive its fluctuations, including: </w:t>
        <w:br/>
        <w:t xml:space="preserve">- Seasonal demand changes (e.g., peak travel seasons vs. off-peak periods) </w:t>
        <w:br/>
        <w:t xml:space="preserve">- Changes in fleet composition and aircraft utilization </w:t>
        <w:br/>
        <w:t xml:space="preserve">- Variability in ticket pricing strategies and promotions </w:t>
        <w:br/>
        <w:t xml:space="preserve">- Economic and geopolitical influences affecting air travel and trade </w:t>
        <w:br/>
        <w:t>- Fuel price variations impacting operational efficiency.</w:t>
      </w:r>
    </w:p>
    <w:p>
      <w:pPr>
        <w:pStyle w:val="Heading2"/>
      </w:pPr>
      <w:r>
        <w:t>3. Comparison of Total Cargo Trends vs. Passenger Trends</w:t>
      </w:r>
    </w:p>
    <w:p>
      <w:r>
        <w:t xml:space="preserve">While both cargo and passenger air travel follow certain market trends, they behave differently due to their unique demand drivers. Key comparisons include: </w:t>
        <w:br/>
        <w:t>- Passenger demand is more seasonal, driven by holidays and business travel, whereas cargo demand is affected by global trade cycles.</w:t>
        <w:br/>
        <w:t>- Cargo operations are less affected by geopolitical tensions than passenger travel, which is more sensitive to travel restrictions.</w:t>
        <w:br/>
        <w:t>- Technological advancements and e-commerce growth have steadily increased air cargo volumes, while passenger travel fluctuates based on economic cycles.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