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FADF" w14:textId="5BF0F753" w:rsidR="00CE701F" w:rsidRDefault="00CE701F" w:rsidP="00F26F1A">
      <w:pPr>
        <w:tabs>
          <w:tab w:val="left" w:pos="1260"/>
        </w:tabs>
      </w:pPr>
      <w:r w:rsidRPr="00CE701F">
        <w:t>Security defaults make it easier to help protect your organization from identity-related attacks like password spray, replay, and phishing common in today's environments.</w:t>
      </w:r>
    </w:p>
    <w:p w14:paraId="166E974C" w14:textId="24A8DF0A" w:rsidR="00CE701F" w:rsidRDefault="00CE701F" w:rsidP="00F26F1A">
      <w:pPr>
        <w:tabs>
          <w:tab w:val="left" w:pos="1260"/>
        </w:tabs>
      </w:pPr>
      <w:r w:rsidRPr="00CE701F">
        <w:t>Microsoft is making these preconfigured security settings available to everyone</w:t>
      </w:r>
    </w:p>
    <w:p w14:paraId="41123908" w14:textId="5F1B6274" w:rsidR="00F26F1A" w:rsidRDefault="00F26F1A" w:rsidP="00F26F1A">
      <w:pPr>
        <w:tabs>
          <w:tab w:val="left" w:pos="1260"/>
        </w:tabs>
      </w:pPr>
      <w:r>
        <w:t>To enable the Security Defaults:</w:t>
      </w:r>
    </w:p>
    <w:p w14:paraId="7322B90D" w14:textId="77777777" w:rsidR="00F26F1A" w:rsidRDefault="00F26F1A" w:rsidP="00F26F1A">
      <w:pPr>
        <w:pStyle w:val="ListParagraph"/>
        <w:numPr>
          <w:ilvl w:val="0"/>
          <w:numId w:val="1"/>
        </w:numPr>
        <w:tabs>
          <w:tab w:val="left" w:pos="1260"/>
        </w:tabs>
      </w:pPr>
      <w:r>
        <w:t xml:space="preserve">Sign in to the Microsoft </w:t>
      </w:r>
      <w:proofErr w:type="spellStart"/>
      <w:r>
        <w:t>Entra</w:t>
      </w:r>
      <w:proofErr w:type="spellEnd"/>
      <w:r>
        <w:t xml:space="preserve"> admin center as least a Security Administrator.</w:t>
      </w:r>
    </w:p>
    <w:p w14:paraId="16221D10" w14:textId="77777777" w:rsidR="00F26F1A" w:rsidRDefault="00F26F1A" w:rsidP="00F26F1A">
      <w:pPr>
        <w:pStyle w:val="ListParagraph"/>
        <w:numPr>
          <w:ilvl w:val="0"/>
          <w:numId w:val="1"/>
        </w:numPr>
        <w:tabs>
          <w:tab w:val="left" w:pos="1260"/>
        </w:tabs>
      </w:pPr>
      <w:r>
        <w:t>Browse to Identity &gt; Overview &gt; Properties.</w:t>
      </w:r>
    </w:p>
    <w:p w14:paraId="35C1B3AC" w14:textId="77777777" w:rsidR="00F26F1A" w:rsidRDefault="00F26F1A" w:rsidP="00F26F1A">
      <w:pPr>
        <w:pStyle w:val="ListParagraph"/>
        <w:numPr>
          <w:ilvl w:val="0"/>
          <w:numId w:val="1"/>
        </w:numPr>
        <w:tabs>
          <w:tab w:val="left" w:pos="1260"/>
        </w:tabs>
      </w:pPr>
      <w:r>
        <w:t>Select Manage security defaults.</w:t>
      </w:r>
    </w:p>
    <w:p w14:paraId="6316A48D" w14:textId="77777777" w:rsidR="00F26F1A" w:rsidRDefault="00F26F1A" w:rsidP="00F26F1A">
      <w:pPr>
        <w:pStyle w:val="ListParagraph"/>
        <w:numPr>
          <w:ilvl w:val="0"/>
          <w:numId w:val="1"/>
        </w:numPr>
        <w:tabs>
          <w:tab w:val="left" w:pos="1260"/>
        </w:tabs>
      </w:pPr>
      <w:r>
        <w:t>Set Security defaults to Enabled.</w:t>
      </w:r>
    </w:p>
    <w:p w14:paraId="6002990D" w14:textId="76B3919B" w:rsidR="00EE0617" w:rsidRDefault="00F26F1A" w:rsidP="00F26F1A">
      <w:pPr>
        <w:pStyle w:val="ListParagraph"/>
        <w:numPr>
          <w:ilvl w:val="0"/>
          <w:numId w:val="1"/>
        </w:numPr>
        <w:tabs>
          <w:tab w:val="left" w:pos="1260"/>
        </w:tabs>
      </w:pPr>
      <w:r>
        <w:t>Select Save.</w:t>
      </w:r>
    </w:p>
    <w:p w14:paraId="12D8254F" w14:textId="7AF4F0E0" w:rsidR="00F26F1A" w:rsidRDefault="00E4028A" w:rsidP="00F26F1A">
      <w:pPr>
        <w:tabs>
          <w:tab w:val="left" w:pos="1260"/>
        </w:tabs>
      </w:pPr>
      <w:r>
        <w:rPr>
          <w:noProof/>
        </w:rPr>
        <w:drawing>
          <wp:inline distT="0" distB="0" distL="0" distR="0" wp14:anchorId="4156CF7E" wp14:editId="770B24C6">
            <wp:extent cx="6347181" cy="5858934"/>
            <wp:effectExtent l="0" t="0" r="0" b="8890"/>
            <wp:docPr id="1872103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1821" cy="5909371"/>
                    </a:xfrm>
                    <a:prstGeom prst="rect">
                      <a:avLst/>
                    </a:prstGeom>
                    <a:noFill/>
                  </pic:spPr>
                </pic:pic>
              </a:graphicData>
            </a:graphic>
          </wp:inline>
        </w:drawing>
      </w:r>
    </w:p>
    <w:p w14:paraId="5ED82413" w14:textId="5E261274" w:rsidR="00800387" w:rsidRDefault="00800387">
      <w:r w:rsidRPr="00800387">
        <w:lastRenderedPageBreak/>
        <w:t>Basic Security Setup</w:t>
      </w:r>
    </w:p>
    <w:p w14:paraId="7AFD1115" w14:textId="3E533D23" w:rsidR="00800387" w:rsidRDefault="00800387"/>
    <w:tbl>
      <w:tblPr>
        <w:tblStyle w:val="TableGrid"/>
        <w:tblW w:w="0" w:type="auto"/>
        <w:tblLook w:val="04A0" w:firstRow="1" w:lastRow="0" w:firstColumn="1" w:lastColumn="0" w:noHBand="0" w:noVBand="1"/>
      </w:tblPr>
      <w:tblGrid>
        <w:gridCol w:w="1719"/>
        <w:gridCol w:w="2383"/>
        <w:gridCol w:w="4046"/>
        <w:gridCol w:w="1202"/>
      </w:tblGrid>
      <w:tr w:rsidR="00800387" w14:paraId="570EB70D" w14:textId="77777777" w:rsidTr="00800387">
        <w:tc>
          <w:tcPr>
            <w:tcW w:w="1771" w:type="dxa"/>
          </w:tcPr>
          <w:p w14:paraId="226CA725" w14:textId="268514F2" w:rsidR="00800387" w:rsidRPr="003762DE" w:rsidRDefault="003762DE">
            <w:pPr>
              <w:rPr>
                <w:b/>
                <w:bCs/>
                <w:sz w:val="24"/>
                <w:szCs w:val="24"/>
              </w:rPr>
            </w:pPr>
            <w:r w:rsidRPr="003762DE">
              <w:rPr>
                <w:b/>
                <w:bCs/>
                <w:sz w:val="24"/>
                <w:szCs w:val="24"/>
              </w:rPr>
              <w:t>Security Configuration</w:t>
            </w:r>
          </w:p>
        </w:tc>
        <w:tc>
          <w:tcPr>
            <w:tcW w:w="2449" w:type="dxa"/>
          </w:tcPr>
          <w:p w14:paraId="3D54F66E" w14:textId="2A3BCEEA" w:rsidR="00800387" w:rsidRPr="003762DE" w:rsidRDefault="00800387">
            <w:pPr>
              <w:rPr>
                <w:b/>
                <w:bCs/>
                <w:sz w:val="24"/>
                <w:szCs w:val="24"/>
              </w:rPr>
            </w:pPr>
            <w:r w:rsidRPr="003762DE">
              <w:rPr>
                <w:b/>
                <w:bCs/>
                <w:sz w:val="24"/>
                <w:szCs w:val="24"/>
              </w:rPr>
              <w:t>Comments</w:t>
            </w:r>
          </w:p>
        </w:tc>
        <w:tc>
          <w:tcPr>
            <w:tcW w:w="3790" w:type="dxa"/>
          </w:tcPr>
          <w:p w14:paraId="7F7EB871" w14:textId="09497D30" w:rsidR="00800387" w:rsidRPr="003762DE" w:rsidRDefault="003762DE">
            <w:pPr>
              <w:rPr>
                <w:b/>
                <w:bCs/>
                <w:sz w:val="24"/>
                <w:szCs w:val="24"/>
              </w:rPr>
            </w:pPr>
            <w:r>
              <w:rPr>
                <w:b/>
                <w:bCs/>
                <w:sz w:val="24"/>
                <w:szCs w:val="24"/>
              </w:rPr>
              <w:t xml:space="preserve">How to do - </w:t>
            </w:r>
            <w:r w:rsidRPr="003762DE">
              <w:rPr>
                <w:b/>
                <w:bCs/>
                <w:sz w:val="24"/>
                <w:szCs w:val="24"/>
              </w:rPr>
              <w:t>Link</w:t>
            </w:r>
          </w:p>
        </w:tc>
        <w:tc>
          <w:tcPr>
            <w:tcW w:w="1340" w:type="dxa"/>
          </w:tcPr>
          <w:p w14:paraId="3B76C920" w14:textId="58F54059" w:rsidR="00800387" w:rsidRPr="003762DE" w:rsidRDefault="003762DE">
            <w:pPr>
              <w:rPr>
                <w:b/>
                <w:bCs/>
                <w:sz w:val="24"/>
                <w:szCs w:val="24"/>
              </w:rPr>
            </w:pPr>
            <w:r w:rsidRPr="003762DE">
              <w:rPr>
                <w:b/>
                <w:bCs/>
                <w:sz w:val="24"/>
                <w:szCs w:val="24"/>
              </w:rPr>
              <w:t xml:space="preserve">Check </w:t>
            </w:r>
          </w:p>
        </w:tc>
      </w:tr>
      <w:tr w:rsidR="00800387" w14:paraId="521D1174" w14:textId="77777777" w:rsidTr="00800387">
        <w:tc>
          <w:tcPr>
            <w:tcW w:w="1771" w:type="dxa"/>
          </w:tcPr>
          <w:p w14:paraId="6A91532C" w14:textId="27A4E0A2" w:rsidR="00800387" w:rsidRDefault="00800387">
            <w:r w:rsidRPr="00800387">
              <w:t>Multi-Factor Authentication</w:t>
            </w:r>
          </w:p>
        </w:tc>
        <w:tc>
          <w:tcPr>
            <w:tcW w:w="2449" w:type="dxa"/>
          </w:tcPr>
          <w:p w14:paraId="577EC5DD" w14:textId="77777777" w:rsidR="00800387" w:rsidRDefault="00800387" w:rsidP="00800387">
            <w:pPr>
              <w:pStyle w:val="ListParagraph"/>
              <w:numPr>
                <w:ilvl w:val="0"/>
                <w:numId w:val="4"/>
              </w:numPr>
              <w:spacing w:after="0" w:line="240" w:lineRule="auto"/>
            </w:pPr>
            <w:r>
              <w:t>Enable a Conditional Access Policy for Multi-Factor for Administrator Accounts</w:t>
            </w:r>
          </w:p>
          <w:p w14:paraId="6430BCF0" w14:textId="3579993C" w:rsidR="00800387" w:rsidRDefault="00800387" w:rsidP="00800387">
            <w:pPr>
              <w:pStyle w:val="ListParagraph"/>
              <w:numPr>
                <w:ilvl w:val="0"/>
                <w:numId w:val="4"/>
              </w:numPr>
            </w:pPr>
            <w:r>
              <w:t>Enable a Conditional Access Policy for Multi-Factor for all User Accounts</w:t>
            </w:r>
          </w:p>
        </w:tc>
        <w:tc>
          <w:tcPr>
            <w:tcW w:w="3790" w:type="dxa"/>
          </w:tcPr>
          <w:p w14:paraId="7BF389DD" w14:textId="411AA4EF" w:rsidR="00800387" w:rsidRDefault="00800387" w:rsidP="00800387">
            <w:pPr>
              <w:pStyle w:val="ListParagraph"/>
              <w:numPr>
                <w:ilvl w:val="0"/>
                <w:numId w:val="4"/>
              </w:numPr>
            </w:pPr>
            <w:hyperlink r:id="rId6" w:history="1">
              <w:r w:rsidRPr="001B206C">
                <w:rPr>
                  <w:rStyle w:val="Hyperlink"/>
                </w:rPr>
                <w:t>https://learn.microsoft.com/en-us/azure/active-directory/conditional-access/howto-conditional-access-policy-admin-mfa#create-a-conditional-access-policy</w:t>
              </w:r>
            </w:hyperlink>
          </w:p>
          <w:p w14:paraId="63EC07E1" w14:textId="120BDC80" w:rsidR="00800387" w:rsidRDefault="00800387" w:rsidP="00800387">
            <w:pPr>
              <w:pStyle w:val="ListParagraph"/>
              <w:numPr>
                <w:ilvl w:val="0"/>
                <w:numId w:val="4"/>
              </w:numPr>
            </w:pPr>
            <w:hyperlink r:id="rId7" w:history="1">
              <w:r w:rsidRPr="001B206C">
                <w:rPr>
                  <w:rStyle w:val="Hyperlink"/>
                </w:rPr>
                <w:t>https://learn.microsoft.com/en-us/azure/active-directory/conditional-access/howto-conditional-access-policy-all-users-mfa#create-a-conditional-access-policy</w:t>
              </w:r>
            </w:hyperlink>
          </w:p>
          <w:p w14:paraId="3CCD29FD" w14:textId="45B3FFFD" w:rsidR="00800387" w:rsidRDefault="00800387"/>
        </w:tc>
        <w:tc>
          <w:tcPr>
            <w:tcW w:w="1340" w:type="dxa"/>
          </w:tcPr>
          <w:p w14:paraId="25D0B0D8" w14:textId="77777777" w:rsidR="00800387" w:rsidRDefault="00800387"/>
        </w:tc>
      </w:tr>
      <w:tr w:rsidR="00800387" w14:paraId="7ED093AC" w14:textId="77777777" w:rsidTr="00800387">
        <w:tc>
          <w:tcPr>
            <w:tcW w:w="1771" w:type="dxa"/>
          </w:tcPr>
          <w:p w14:paraId="227A89DD" w14:textId="77777777" w:rsidR="00800387" w:rsidRDefault="00800387" w:rsidP="00800387">
            <w:pPr>
              <w:spacing w:after="0" w:line="240" w:lineRule="auto"/>
            </w:pPr>
          </w:p>
          <w:p w14:paraId="403377D1" w14:textId="52079D32" w:rsidR="00800387" w:rsidRDefault="00800387" w:rsidP="00800387">
            <w:r>
              <w:t>Sign Out Inactive Users Automatically</w:t>
            </w:r>
          </w:p>
        </w:tc>
        <w:tc>
          <w:tcPr>
            <w:tcW w:w="2449" w:type="dxa"/>
          </w:tcPr>
          <w:p w14:paraId="11885D41" w14:textId="65A30F66" w:rsidR="00800387" w:rsidRDefault="00800387">
            <w:r w:rsidRPr="00800387">
              <w:t>implement Idle Session Sign-out.</w:t>
            </w:r>
          </w:p>
        </w:tc>
        <w:tc>
          <w:tcPr>
            <w:tcW w:w="3790" w:type="dxa"/>
          </w:tcPr>
          <w:p w14:paraId="376E2F4D" w14:textId="681C832C" w:rsidR="00800387" w:rsidRDefault="00800387">
            <w:r w:rsidRPr="00800387">
              <w:t>implement Idle Session Sign-out.</w:t>
            </w:r>
          </w:p>
        </w:tc>
        <w:tc>
          <w:tcPr>
            <w:tcW w:w="1340" w:type="dxa"/>
          </w:tcPr>
          <w:p w14:paraId="191968A7" w14:textId="77777777" w:rsidR="00800387" w:rsidRDefault="00800387"/>
        </w:tc>
      </w:tr>
      <w:tr w:rsidR="00800387" w14:paraId="6B9C851B" w14:textId="77777777" w:rsidTr="00800387">
        <w:tc>
          <w:tcPr>
            <w:tcW w:w="1771" w:type="dxa"/>
          </w:tcPr>
          <w:p w14:paraId="22BE38DA" w14:textId="20B7E784" w:rsidR="00800387" w:rsidRDefault="00800387">
            <w:r w:rsidRPr="00800387">
              <w:t>Block Legacy Authentication</w:t>
            </w:r>
          </w:p>
        </w:tc>
        <w:tc>
          <w:tcPr>
            <w:tcW w:w="2449" w:type="dxa"/>
          </w:tcPr>
          <w:p w14:paraId="7697D756" w14:textId="77777777" w:rsidR="00800387" w:rsidRDefault="00800387"/>
        </w:tc>
        <w:tc>
          <w:tcPr>
            <w:tcW w:w="3790" w:type="dxa"/>
          </w:tcPr>
          <w:p w14:paraId="03071CB5" w14:textId="1B0CEAAF" w:rsidR="00800387" w:rsidRDefault="00800387">
            <w:hyperlink r:id="rId8" w:history="1">
              <w:r w:rsidRPr="001B206C">
                <w:rPr>
                  <w:rStyle w:val="Hyperlink"/>
                </w:rPr>
                <w:t>https://learn.microsoft.com/en-us/azure/active-directory/conditional-access/block-legacy-authentication</w:t>
              </w:r>
            </w:hyperlink>
          </w:p>
          <w:p w14:paraId="3A2CFDC5" w14:textId="57929D01" w:rsidR="00800387" w:rsidRDefault="00800387"/>
        </w:tc>
        <w:tc>
          <w:tcPr>
            <w:tcW w:w="1340" w:type="dxa"/>
          </w:tcPr>
          <w:p w14:paraId="6B104E66" w14:textId="77777777" w:rsidR="00800387" w:rsidRDefault="00800387"/>
        </w:tc>
      </w:tr>
      <w:tr w:rsidR="00800387" w14:paraId="4E970F97" w14:textId="77777777" w:rsidTr="00800387">
        <w:tc>
          <w:tcPr>
            <w:tcW w:w="1771" w:type="dxa"/>
          </w:tcPr>
          <w:p w14:paraId="6EAB45EE" w14:textId="124A6BD7" w:rsidR="00800387" w:rsidRDefault="00800387">
            <w:r w:rsidRPr="00800387">
              <w:t>Set User Passwords to Never Expire</w:t>
            </w:r>
          </w:p>
        </w:tc>
        <w:tc>
          <w:tcPr>
            <w:tcW w:w="2449" w:type="dxa"/>
          </w:tcPr>
          <w:p w14:paraId="153A719C" w14:textId="77777777" w:rsidR="00800387" w:rsidRDefault="00800387">
            <w:r w:rsidRPr="00800387">
              <w:t>It is now recommended by the National Institute of Standards and Technology (NIST) to disable password expiration. The guidance is only to force a change or update a password if an account is confirmed as compromised.</w:t>
            </w:r>
          </w:p>
          <w:p w14:paraId="71EB5B2C" w14:textId="77777777" w:rsidR="00800387" w:rsidRDefault="00800387"/>
          <w:p w14:paraId="6B83C346" w14:textId="77777777" w:rsidR="00800387" w:rsidRDefault="00800387" w:rsidP="00800387">
            <w:pPr>
              <w:pStyle w:val="ListParagraph"/>
              <w:numPr>
                <w:ilvl w:val="0"/>
                <w:numId w:val="5"/>
              </w:numPr>
              <w:spacing w:after="0" w:line="240" w:lineRule="auto"/>
            </w:pPr>
            <w:r>
              <w:t>Set the password expiration policy for your organization</w:t>
            </w:r>
          </w:p>
          <w:p w14:paraId="3BA6B5AB" w14:textId="38E746FF" w:rsidR="00800387" w:rsidRDefault="00800387" w:rsidP="00800387">
            <w:pPr>
              <w:pStyle w:val="ListParagraph"/>
              <w:numPr>
                <w:ilvl w:val="0"/>
                <w:numId w:val="5"/>
              </w:numPr>
            </w:pPr>
            <w:r>
              <w:t>Set an individual user's password to never expire</w:t>
            </w:r>
          </w:p>
        </w:tc>
        <w:tc>
          <w:tcPr>
            <w:tcW w:w="3790" w:type="dxa"/>
          </w:tcPr>
          <w:p w14:paraId="569F3A3E" w14:textId="77777777" w:rsidR="00800387" w:rsidRDefault="00800387"/>
          <w:p w14:paraId="14B5C40B" w14:textId="77777777" w:rsidR="00800387" w:rsidRDefault="00800387"/>
          <w:p w14:paraId="42325E67" w14:textId="77777777" w:rsidR="00800387" w:rsidRDefault="00800387"/>
          <w:p w14:paraId="7321FD44" w14:textId="77777777" w:rsidR="00800387" w:rsidRDefault="00800387"/>
          <w:p w14:paraId="218889CF" w14:textId="77777777" w:rsidR="00800387" w:rsidRDefault="00800387"/>
          <w:p w14:paraId="53EFB6A2" w14:textId="77777777" w:rsidR="00800387" w:rsidRDefault="00800387"/>
          <w:p w14:paraId="272B44A0" w14:textId="77777777" w:rsidR="00800387" w:rsidRDefault="00800387"/>
          <w:p w14:paraId="5CAF24CC" w14:textId="77777777" w:rsidR="00800387" w:rsidRDefault="00800387"/>
          <w:p w14:paraId="5E9F3487" w14:textId="77777777" w:rsidR="00800387" w:rsidRDefault="00800387"/>
          <w:p w14:paraId="03E455DC" w14:textId="77777777" w:rsidR="00800387" w:rsidRDefault="00800387"/>
          <w:p w14:paraId="4B5F9648" w14:textId="77777777" w:rsidR="00800387" w:rsidRDefault="00800387"/>
          <w:p w14:paraId="7CE60BE9" w14:textId="29684C41" w:rsidR="00800387" w:rsidRDefault="00800387" w:rsidP="00800387">
            <w:pPr>
              <w:pStyle w:val="ListParagraph"/>
              <w:numPr>
                <w:ilvl w:val="0"/>
                <w:numId w:val="5"/>
              </w:numPr>
            </w:pPr>
            <w:hyperlink r:id="rId9" w:history="1">
              <w:r w:rsidRPr="001B206C">
                <w:rPr>
                  <w:rStyle w:val="Hyperlink"/>
                </w:rPr>
                <w:t>https://learn.microsoft.com/en-us/microsoft-365/admin/manage/set-password-expiration-policy</w:t>
              </w:r>
            </w:hyperlink>
          </w:p>
          <w:p w14:paraId="7DA2C5DD" w14:textId="77777777" w:rsidR="00800387" w:rsidRDefault="00800387"/>
          <w:p w14:paraId="3392CDA2" w14:textId="303B2895" w:rsidR="00800387" w:rsidRDefault="00800387" w:rsidP="00800387">
            <w:pPr>
              <w:pStyle w:val="ListParagraph"/>
              <w:numPr>
                <w:ilvl w:val="0"/>
                <w:numId w:val="5"/>
              </w:numPr>
            </w:pPr>
            <w:hyperlink r:id="rId10" w:history="1">
              <w:r w:rsidRPr="001B206C">
                <w:rPr>
                  <w:rStyle w:val="Hyperlink"/>
                </w:rPr>
                <w:t>https://learn.microsoft.com/en-us/microsoft-365/admin/add-users/set-password-to-never-expire</w:t>
              </w:r>
            </w:hyperlink>
          </w:p>
          <w:p w14:paraId="059444DB" w14:textId="7328C326" w:rsidR="00800387" w:rsidRDefault="00800387"/>
        </w:tc>
        <w:tc>
          <w:tcPr>
            <w:tcW w:w="1340" w:type="dxa"/>
          </w:tcPr>
          <w:p w14:paraId="24222FF8" w14:textId="77777777" w:rsidR="00800387" w:rsidRDefault="00800387"/>
        </w:tc>
      </w:tr>
      <w:tr w:rsidR="00800387" w14:paraId="22601770" w14:textId="77777777" w:rsidTr="00800387">
        <w:tc>
          <w:tcPr>
            <w:tcW w:w="1771" w:type="dxa"/>
          </w:tcPr>
          <w:p w14:paraId="143DED2C" w14:textId="14F98AB9" w:rsidR="00800387" w:rsidRDefault="00800387">
            <w:r w:rsidRPr="00800387">
              <w:lastRenderedPageBreak/>
              <w:t>Banned Password List</w:t>
            </w:r>
          </w:p>
        </w:tc>
        <w:tc>
          <w:tcPr>
            <w:tcW w:w="2449" w:type="dxa"/>
          </w:tcPr>
          <w:p w14:paraId="26C0783E" w14:textId="79E1435D" w:rsidR="00800387" w:rsidRDefault="00800387">
            <w:r w:rsidRPr="00800387">
              <w:t xml:space="preserve">Microsoft </w:t>
            </w:r>
            <w:proofErr w:type="spellStart"/>
            <w:r w:rsidRPr="00800387">
              <w:t>Entra</w:t>
            </w:r>
            <w:proofErr w:type="spellEnd"/>
            <w:r w:rsidRPr="00800387">
              <w:t xml:space="preserve"> ID includes a global banned password list, that protects all Microsoft 365 services. Microsoft </w:t>
            </w:r>
            <w:proofErr w:type="spellStart"/>
            <w:r w:rsidRPr="00800387">
              <w:t>Entra</w:t>
            </w:r>
            <w:proofErr w:type="spellEnd"/>
            <w:r w:rsidRPr="00800387">
              <w:t xml:space="preserve"> ID also provides organizations the ability to add a list of banned passwords.</w:t>
            </w:r>
          </w:p>
        </w:tc>
        <w:tc>
          <w:tcPr>
            <w:tcW w:w="3790" w:type="dxa"/>
          </w:tcPr>
          <w:p w14:paraId="4C4E4D17" w14:textId="22E61F54" w:rsidR="00800387" w:rsidRDefault="00800387">
            <w:hyperlink r:id="rId11" w:history="1">
              <w:r w:rsidRPr="001B206C">
                <w:rPr>
                  <w:rStyle w:val="Hyperlink"/>
                </w:rPr>
                <w:t>https://learn.microsoft.com/en-us/azure/active-directory/authentication/tutorial-configure-custom-password-protection</w:t>
              </w:r>
            </w:hyperlink>
          </w:p>
          <w:p w14:paraId="40D1B266" w14:textId="7F9C0768" w:rsidR="00800387" w:rsidRPr="00800387" w:rsidRDefault="00800387"/>
        </w:tc>
        <w:tc>
          <w:tcPr>
            <w:tcW w:w="1340" w:type="dxa"/>
          </w:tcPr>
          <w:p w14:paraId="47B5BEA8" w14:textId="77777777" w:rsidR="00800387" w:rsidRDefault="00800387"/>
        </w:tc>
      </w:tr>
      <w:tr w:rsidR="00800387" w14:paraId="78A35D34" w14:textId="77777777" w:rsidTr="00800387">
        <w:tc>
          <w:tcPr>
            <w:tcW w:w="1771" w:type="dxa"/>
          </w:tcPr>
          <w:p w14:paraId="5B6FE672" w14:textId="4867EA02" w:rsidR="00800387" w:rsidRDefault="00800387">
            <w:r w:rsidRPr="00800387">
              <w:t>External Sharing</w:t>
            </w:r>
          </w:p>
        </w:tc>
        <w:tc>
          <w:tcPr>
            <w:tcW w:w="2449" w:type="dxa"/>
          </w:tcPr>
          <w:p w14:paraId="6EE89D8B" w14:textId="1F8D6F88" w:rsidR="00800387" w:rsidRDefault="00800387">
            <w:r w:rsidRPr="00800387">
              <w:t>Microsoft 365 provides external sharing settings at the tenant and application levels. The decision to modify these settings should be business-related. Setting this to Only people in your organization, limits external sharing capabilities.</w:t>
            </w:r>
          </w:p>
        </w:tc>
        <w:tc>
          <w:tcPr>
            <w:tcW w:w="3790" w:type="dxa"/>
          </w:tcPr>
          <w:p w14:paraId="1FD2447A" w14:textId="247A9996" w:rsidR="00800387" w:rsidRDefault="00800387">
            <w:hyperlink r:id="rId12" w:history="1">
              <w:r w:rsidRPr="001B206C">
                <w:rPr>
                  <w:rStyle w:val="Hyperlink"/>
                </w:rPr>
                <w:t>https://learn.microsoft.com/en-us/sharepoint/turn-external-sharing-on-or-off</w:t>
              </w:r>
            </w:hyperlink>
          </w:p>
          <w:p w14:paraId="004B59D6" w14:textId="77777777" w:rsidR="00800387" w:rsidRDefault="00800387"/>
          <w:p w14:paraId="6CF0E08B" w14:textId="55EF1427" w:rsidR="00800387" w:rsidRDefault="00800387"/>
        </w:tc>
        <w:tc>
          <w:tcPr>
            <w:tcW w:w="1340" w:type="dxa"/>
          </w:tcPr>
          <w:p w14:paraId="6FE328DB" w14:textId="77777777" w:rsidR="00800387" w:rsidRDefault="00800387"/>
        </w:tc>
      </w:tr>
      <w:tr w:rsidR="00800387" w14:paraId="278B8878" w14:textId="77777777" w:rsidTr="00800387">
        <w:tc>
          <w:tcPr>
            <w:tcW w:w="1771" w:type="dxa"/>
          </w:tcPr>
          <w:p w14:paraId="54EFA9F2" w14:textId="52A9690C" w:rsidR="00800387" w:rsidRPr="00800387" w:rsidRDefault="00800387" w:rsidP="00800387">
            <w:r w:rsidRPr="00800387">
              <w:t>Account Lockout Threshold</w:t>
            </w:r>
          </w:p>
        </w:tc>
        <w:tc>
          <w:tcPr>
            <w:tcW w:w="2449" w:type="dxa"/>
          </w:tcPr>
          <w:p w14:paraId="09578561" w14:textId="0E9CAB0F" w:rsidR="00800387" w:rsidRPr="00800387" w:rsidRDefault="003762DE" w:rsidP="00800387">
            <w:r w:rsidRPr="003762DE">
              <w:t xml:space="preserve">Microsoft </w:t>
            </w:r>
            <w:proofErr w:type="spellStart"/>
            <w:r w:rsidRPr="003762DE">
              <w:t>Entra</w:t>
            </w:r>
            <w:proofErr w:type="spellEnd"/>
            <w:r w:rsidRPr="003762DE">
              <w:t xml:space="preserve"> Smart lockout uses cloud intelligence to lock out malicious actors trying to guess </w:t>
            </w:r>
            <w:proofErr w:type="gramStart"/>
            <w:r w:rsidRPr="003762DE">
              <w:t>end-users</w:t>
            </w:r>
            <w:proofErr w:type="gramEnd"/>
            <w:r w:rsidRPr="003762DE">
              <w:t xml:space="preserve"> passwords. The intelligence platform recognizes sign-ins from valid users and treats those differently from those that attackers and other unknown sources. The smart lockout can lock out the attackers yet still allow users to continue to access their accounts.</w:t>
            </w:r>
          </w:p>
        </w:tc>
        <w:tc>
          <w:tcPr>
            <w:tcW w:w="3790" w:type="dxa"/>
          </w:tcPr>
          <w:p w14:paraId="25092888" w14:textId="4CCACA52" w:rsidR="00800387" w:rsidRDefault="003762DE" w:rsidP="00800387">
            <w:hyperlink r:id="rId13" w:history="1">
              <w:r w:rsidRPr="001B206C">
                <w:rPr>
                  <w:rStyle w:val="Hyperlink"/>
                </w:rPr>
                <w:t>https://learn.microsoft.com/en-us/azure/active-directory/authentication/howto-password-smart-lockout</w:t>
              </w:r>
            </w:hyperlink>
          </w:p>
          <w:p w14:paraId="7DA49341" w14:textId="69C1635E" w:rsidR="003762DE" w:rsidRDefault="003762DE" w:rsidP="00800387"/>
        </w:tc>
        <w:tc>
          <w:tcPr>
            <w:tcW w:w="1340" w:type="dxa"/>
          </w:tcPr>
          <w:p w14:paraId="2DB22D95" w14:textId="77777777" w:rsidR="00800387" w:rsidRDefault="00800387" w:rsidP="00800387"/>
        </w:tc>
      </w:tr>
      <w:tr w:rsidR="00800387" w14:paraId="3F926033" w14:textId="77777777" w:rsidTr="00800387">
        <w:tc>
          <w:tcPr>
            <w:tcW w:w="1771" w:type="dxa"/>
          </w:tcPr>
          <w:p w14:paraId="2B03291D" w14:textId="75E575E0" w:rsidR="00800387" w:rsidRPr="00800387" w:rsidRDefault="003762DE" w:rsidP="00800387">
            <w:r w:rsidRPr="003762DE">
              <w:t>Mobile Application Management Policy</w:t>
            </w:r>
          </w:p>
        </w:tc>
        <w:tc>
          <w:tcPr>
            <w:tcW w:w="2449" w:type="dxa"/>
          </w:tcPr>
          <w:p w14:paraId="33771102" w14:textId="77777777" w:rsidR="00800387" w:rsidRDefault="003762DE" w:rsidP="00800387">
            <w:r w:rsidRPr="003762DE">
              <w:t>These policies can include rules that block the user's attempt to access or move corporate data or are a set of prohibited or monitored actions users can perform when in the app.</w:t>
            </w:r>
          </w:p>
          <w:p w14:paraId="7161A915" w14:textId="77777777" w:rsidR="003762DE" w:rsidRPr="003762DE" w:rsidRDefault="003762DE" w:rsidP="003762DE">
            <w:pPr>
              <w:spacing w:after="0" w:line="240" w:lineRule="auto"/>
            </w:pPr>
            <w:r w:rsidRPr="003762DE">
              <w:lastRenderedPageBreak/>
              <w:t>The core benefits of Mobile application management (MAM) policies are:</w:t>
            </w:r>
          </w:p>
          <w:p w14:paraId="4AA082D0" w14:textId="77777777" w:rsidR="003762DE" w:rsidRPr="003762DE" w:rsidRDefault="003762DE" w:rsidP="003762DE">
            <w:pPr>
              <w:numPr>
                <w:ilvl w:val="0"/>
                <w:numId w:val="6"/>
              </w:numPr>
            </w:pPr>
            <w:r w:rsidRPr="003762DE">
              <w:t>Protect organizational data at the app level</w:t>
            </w:r>
          </w:p>
          <w:p w14:paraId="0AC74CE4" w14:textId="77777777" w:rsidR="003762DE" w:rsidRPr="003762DE" w:rsidRDefault="003762DE" w:rsidP="003762DE">
            <w:pPr>
              <w:numPr>
                <w:ilvl w:val="0"/>
                <w:numId w:val="6"/>
              </w:numPr>
            </w:pPr>
            <w:r w:rsidRPr="003762DE">
              <w:t>End-user productivity isn't affected</w:t>
            </w:r>
          </w:p>
          <w:p w14:paraId="1ADD8CD0" w14:textId="77777777" w:rsidR="003762DE" w:rsidRPr="003762DE" w:rsidRDefault="003762DE" w:rsidP="003762DE">
            <w:pPr>
              <w:numPr>
                <w:ilvl w:val="0"/>
                <w:numId w:val="6"/>
              </w:numPr>
            </w:pPr>
            <w:r w:rsidRPr="003762DE">
              <w:t>Policies don't apply when app use is in a personal context</w:t>
            </w:r>
          </w:p>
          <w:p w14:paraId="406FD411" w14:textId="77777777" w:rsidR="003762DE" w:rsidRPr="003762DE" w:rsidRDefault="003762DE" w:rsidP="003762DE">
            <w:pPr>
              <w:numPr>
                <w:ilvl w:val="0"/>
                <w:numId w:val="6"/>
              </w:numPr>
            </w:pPr>
            <w:r w:rsidRPr="003762DE">
              <w:t>App protection policies make sure that app protections are in place</w:t>
            </w:r>
          </w:p>
          <w:p w14:paraId="334CFF9F" w14:textId="225E9F45" w:rsidR="003762DE" w:rsidRPr="00800387" w:rsidRDefault="003762DE" w:rsidP="00800387"/>
        </w:tc>
        <w:tc>
          <w:tcPr>
            <w:tcW w:w="3790" w:type="dxa"/>
          </w:tcPr>
          <w:p w14:paraId="27810EEB" w14:textId="4084C886" w:rsidR="00800387" w:rsidRDefault="003762DE" w:rsidP="00800387">
            <w:hyperlink r:id="rId14" w:history="1">
              <w:r w:rsidRPr="00082AA2">
                <w:rPr>
                  <w:rStyle w:val="Hyperlink"/>
                </w:rPr>
                <w:t>https://learn.microsoft.com/en-us/mem/intune/apps/app-protection-policies</w:t>
              </w:r>
            </w:hyperlink>
          </w:p>
          <w:p w14:paraId="2BF7588B" w14:textId="5F7AFEB3" w:rsidR="003762DE" w:rsidRDefault="003762DE" w:rsidP="00800387"/>
        </w:tc>
        <w:tc>
          <w:tcPr>
            <w:tcW w:w="1340" w:type="dxa"/>
          </w:tcPr>
          <w:p w14:paraId="4B0CA7E9" w14:textId="77777777" w:rsidR="00800387" w:rsidRDefault="00800387" w:rsidP="00800387"/>
        </w:tc>
      </w:tr>
      <w:tr w:rsidR="00800387" w14:paraId="6A278355" w14:textId="77777777" w:rsidTr="00800387">
        <w:tc>
          <w:tcPr>
            <w:tcW w:w="1771" w:type="dxa"/>
          </w:tcPr>
          <w:p w14:paraId="5CC91D53" w14:textId="55110CD9" w:rsidR="00800387" w:rsidRPr="00800387" w:rsidRDefault="003762DE" w:rsidP="00800387">
            <w:r w:rsidRPr="003762DE">
              <w:t>Block Client Forwarding Rules</w:t>
            </w:r>
          </w:p>
        </w:tc>
        <w:tc>
          <w:tcPr>
            <w:tcW w:w="2449" w:type="dxa"/>
          </w:tcPr>
          <w:p w14:paraId="2A76E7F9" w14:textId="601E38DF" w:rsidR="00800387" w:rsidRPr="00800387" w:rsidRDefault="003762DE" w:rsidP="00800387">
            <w:r w:rsidRPr="003762DE">
              <w:t>Client Rules Forwarding Block lets you manage email auto-forwarding in your organization. Using client-side forwarding rules to exfiltrate data to external recipients is becoming an increasingly used vector for attackers.</w:t>
            </w:r>
          </w:p>
        </w:tc>
        <w:tc>
          <w:tcPr>
            <w:tcW w:w="3790" w:type="dxa"/>
          </w:tcPr>
          <w:p w14:paraId="6F673A56" w14:textId="1052BEAF" w:rsidR="00800387" w:rsidRDefault="003762DE" w:rsidP="00800387">
            <w:hyperlink r:id="rId15" w:history="1">
              <w:r w:rsidRPr="00082AA2">
                <w:rPr>
                  <w:rStyle w:val="Hyperlink"/>
                </w:rPr>
                <w:t>https://support.microsoft.com/office/stop-auto-forwarding-emails-in-microsoft-365-f9d693ba-5c78-47c0-b156-8e461e062aa7</w:t>
              </w:r>
            </w:hyperlink>
          </w:p>
          <w:p w14:paraId="2EAE07BC" w14:textId="48D3AA67" w:rsidR="003762DE" w:rsidRDefault="003762DE" w:rsidP="00800387"/>
        </w:tc>
        <w:tc>
          <w:tcPr>
            <w:tcW w:w="1340" w:type="dxa"/>
          </w:tcPr>
          <w:p w14:paraId="656B8DB0" w14:textId="77777777" w:rsidR="00800387" w:rsidRDefault="00800387" w:rsidP="00800387"/>
        </w:tc>
      </w:tr>
      <w:tr w:rsidR="00800387" w14:paraId="26B51D90" w14:textId="77777777" w:rsidTr="00800387">
        <w:tc>
          <w:tcPr>
            <w:tcW w:w="1771" w:type="dxa"/>
          </w:tcPr>
          <w:p w14:paraId="2C560928" w14:textId="77777777" w:rsidR="003762DE" w:rsidRDefault="003762DE" w:rsidP="003762DE">
            <w:pPr>
              <w:spacing w:after="0" w:line="240" w:lineRule="auto"/>
            </w:pPr>
          </w:p>
          <w:p w14:paraId="08E65163" w14:textId="7BAA2037" w:rsidR="00800387" w:rsidRPr="00800387" w:rsidRDefault="003762DE" w:rsidP="003762DE">
            <w:r>
              <w:t>Do not allow users to grant consent to un-managed applications</w:t>
            </w:r>
          </w:p>
        </w:tc>
        <w:tc>
          <w:tcPr>
            <w:tcW w:w="2449" w:type="dxa"/>
          </w:tcPr>
          <w:p w14:paraId="7612EBCB" w14:textId="1944E62F" w:rsidR="003762DE" w:rsidRDefault="003762DE" w:rsidP="003762DE">
            <w:r w:rsidRPr="003762DE">
              <w:t xml:space="preserve">Before an application can access organizational data, </w:t>
            </w:r>
            <w:proofErr w:type="spellStart"/>
            <w:proofErr w:type="gramStart"/>
            <w:r w:rsidRPr="003762DE">
              <w:t>a</w:t>
            </w:r>
            <w:proofErr w:type="spellEnd"/>
            <w:proofErr w:type="gramEnd"/>
            <w:r w:rsidRPr="003762DE">
              <w:t xml:space="preserve"> end-user must grant the application permissions. By default, all users can consent to applications for permissions that don't require administrator consent. By allowing users to give apps access to data, users can easily acquire useful </w:t>
            </w:r>
            <w:r w:rsidRPr="003762DE">
              <w:lastRenderedPageBreak/>
              <w:t>applications and be productive</w:t>
            </w:r>
          </w:p>
          <w:p w14:paraId="6BB7FA8F" w14:textId="5513DD05" w:rsidR="003762DE" w:rsidRDefault="003762DE" w:rsidP="003762DE">
            <w:pPr>
              <w:pStyle w:val="ListParagraph"/>
              <w:numPr>
                <w:ilvl w:val="0"/>
                <w:numId w:val="7"/>
              </w:numPr>
              <w:spacing w:after="0" w:line="240" w:lineRule="auto"/>
            </w:pPr>
            <w:r>
              <w:t xml:space="preserve">Configure how </w:t>
            </w:r>
            <w:proofErr w:type="gramStart"/>
            <w:r>
              <w:t>end-users</w:t>
            </w:r>
            <w:proofErr w:type="gramEnd"/>
            <w:r>
              <w:t xml:space="preserve"> consent to applications</w:t>
            </w:r>
          </w:p>
          <w:p w14:paraId="06CCFFF6" w14:textId="0C143FDB" w:rsidR="00800387" w:rsidRPr="00800387" w:rsidRDefault="003762DE" w:rsidP="003762DE">
            <w:pPr>
              <w:pStyle w:val="ListParagraph"/>
              <w:numPr>
                <w:ilvl w:val="0"/>
                <w:numId w:val="7"/>
              </w:numPr>
            </w:pPr>
            <w:r>
              <w:t>Configure the admin consent workflow</w:t>
            </w:r>
          </w:p>
        </w:tc>
        <w:tc>
          <w:tcPr>
            <w:tcW w:w="3790" w:type="dxa"/>
          </w:tcPr>
          <w:p w14:paraId="217A4E23" w14:textId="29AC560C" w:rsidR="00800387" w:rsidRDefault="003762DE" w:rsidP="00800387">
            <w:hyperlink r:id="rId16" w:history="1">
              <w:r w:rsidRPr="00082AA2">
                <w:rPr>
                  <w:rStyle w:val="Hyperlink"/>
                </w:rPr>
                <w:t>https://learn.microsoft.com/en-us/azure/active-directory/manage-apps/configure-user-consent</w:t>
              </w:r>
            </w:hyperlink>
          </w:p>
          <w:p w14:paraId="7CCAB4F4" w14:textId="77777777" w:rsidR="003762DE" w:rsidRDefault="003762DE" w:rsidP="00800387"/>
          <w:p w14:paraId="51E621B7" w14:textId="1BB68D93" w:rsidR="003762DE" w:rsidRDefault="003762DE" w:rsidP="00800387">
            <w:hyperlink r:id="rId17" w:history="1">
              <w:r w:rsidRPr="00082AA2">
                <w:rPr>
                  <w:rStyle w:val="Hyperlink"/>
                </w:rPr>
                <w:t>https://learn.microsoft.com/en-us/azure/active-directory/manage-apps/configure-admin-consent-workflow#enable-the-admin-consent-workflow</w:t>
              </w:r>
            </w:hyperlink>
          </w:p>
          <w:p w14:paraId="01842E4D" w14:textId="7E141F42" w:rsidR="003762DE" w:rsidRDefault="003762DE" w:rsidP="00800387"/>
        </w:tc>
        <w:tc>
          <w:tcPr>
            <w:tcW w:w="1340" w:type="dxa"/>
          </w:tcPr>
          <w:p w14:paraId="46F100B6" w14:textId="77777777" w:rsidR="00800387" w:rsidRDefault="00800387" w:rsidP="00800387"/>
        </w:tc>
      </w:tr>
      <w:tr w:rsidR="00800387" w14:paraId="17DB2F2A" w14:textId="77777777" w:rsidTr="00800387">
        <w:tc>
          <w:tcPr>
            <w:tcW w:w="1771" w:type="dxa"/>
          </w:tcPr>
          <w:p w14:paraId="0D60D146" w14:textId="77777777" w:rsidR="00800387" w:rsidRPr="00800387" w:rsidRDefault="00800387" w:rsidP="00800387"/>
        </w:tc>
        <w:tc>
          <w:tcPr>
            <w:tcW w:w="2449" w:type="dxa"/>
          </w:tcPr>
          <w:p w14:paraId="56492EEA" w14:textId="77777777" w:rsidR="00800387" w:rsidRPr="00800387" w:rsidRDefault="00800387" w:rsidP="00800387"/>
        </w:tc>
        <w:tc>
          <w:tcPr>
            <w:tcW w:w="3790" w:type="dxa"/>
          </w:tcPr>
          <w:p w14:paraId="5099A198" w14:textId="77777777" w:rsidR="00800387" w:rsidRDefault="00800387" w:rsidP="00800387"/>
        </w:tc>
        <w:tc>
          <w:tcPr>
            <w:tcW w:w="1340" w:type="dxa"/>
          </w:tcPr>
          <w:p w14:paraId="30D93536" w14:textId="77777777" w:rsidR="00800387" w:rsidRDefault="00800387" w:rsidP="00800387"/>
        </w:tc>
      </w:tr>
      <w:tr w:rsidR="00800387" w14:paraId="7B4A176F" w14:textId="77777777" w:rsidTr="00800387">
        <w:tc>
          <w:tcPr>
            <w:tcW w:w="1771" w:type="dxa"/>
          </w:tcPr>
          <w:p w14:paraId="4EAD09DE" w14:textId="77777777" w:rsidR="00800387" w:rsidRPr="00800387" w:rsidRDefault="00800387" w:rsidP="00800387"/>
        </w:tc>
        <w:tc>
          <w:tcPr>
            <w:tcW w:w="2449" w:type="dxa"/>
          </w:tcPr>
          <w:p w14:paraId="5F60588C" w14:textId="77777777" w:rsidR="00800387" w:rsidRPr="00800387" w:rsidRDefault="00800387" w:rsidP="00800387"/>
        </w:tc>
        <w:tc>
          <w:tcPr>
            <w:tcW w:w="3790" w:type="dxa"/>
          </w:tcPr>
          <w:p w14:paraId="0E31D6F8" w14:textId="77777777" w:rsidR="00800387" w:rsidRDefault="00800387" w:rsidP="00800387"/>
        </w:tc>
        <w:tc>
          <w:tcPr>
            <w:tcW w:w="1340" w:type="dxa"/>
          </w:tcPr>
          <w:p w14:paraId="29108EFC" w14:textId="77777777" w:rsidR="00800387" w:rsidRDefault="00800387" w:rsidP="00800387"/>
        </w:tc>
      </w:tr>
      <w:tr w:rsidR="00800387" w14:paraId="15610FC3" w14:textId="77777777" w:rsidTr="00800387">
        <w:tc>
          <w:tcPr>
            <w:tcW w:w="1771" w:type="dxa"/>
          </w:tcPr>
          <w:p w14:paraId="6471FEE0" w14:textId="77777777" w:rsidR="00800387" w:rsidRPr="00800387" w:rsidRDefault="00800387" w:rsidP="00800387"/>
        </w:tc>
        <w:tc>
          <w:tcPr>
            <w:tcW w:w="2449" w:type="dxa"/>
          </w:tcPr>
          <w:p w14:paraId="044BB377" w14:textId="77777777" w:rsidR="00800387" w:rsidRPr="00800387" w:rsidRDefault="00800387" w:rsidP="00800387"/>
        </w:tc>
        <w:tc>
          <w:tcPr>
            <w:tcW w:w="3790" w:type="dxa"/>
          </w:tcPr>
          <w:p w14:paraId="673098C5" w14:textId="77777777" w:rsidR="00800387" w:rsidRDefault="00800387" w:rsidP="00800387"/>
        </w:tc>
        <w:tc>
          <w:tcPr>
            <w:tcW w:w="1340" w:type="dxa"/>
          </w:tcPr>
          <w:p w14:paraId="4E61B4C7" w14:textId="77777777" w:rsidR="00800387" w:rsidRDefault="00800387" w:rsidP="00800387"/>
        </w:tc>
      </w:tr>
      <w:tr w:rsidR="00800387" w14:paraId="1F2D8DF4" w14:textId="77777777" w:rsidTr="00800387">
        <w:tc>
          <w:tcPr>
            <w:tcW w:w="1771" w:type="dxa"/>
          </w:tcPr>
          <w:p w14:paraId="47A65AAB" w14:textId="77777777" w:rsidR="00800387" w:rsidRPr="00800387" w:rsidRDefault="00800387" w:rsidP="00800387"/>
        </w:tc>
        <w:tc>
          <w:tcPr>
            <w:tcW w:w="2449" w:type="dxa"/>
          </w:tcPr>
          <w:p w14:paraId="53F1401D" w14:textId="77777777" w:rsidR="00800387" w:rsidRPr="00800387" w:rsidRDefault="00800387" w:rsidP="00800387"/>
        </w:tc>
        <w:tc>
          <w:tcPr>
            <w:tcW w:w="3790" w:type="dxa"/>
          </w:tcPr>
          <w:p w14:paraId="69358B40" w14:textId="77777777" w:rsidR="00800387" w:rsidRDefault="00800387" w:rsidP="00800387"/>
        </w:tc>
        <w:tc>
          <w:tcPr>
            <w:tcW w:w="1340" w:type="dxa"/>
          </w:tcPr>
          <w:p w14:paraId="462BF39C" w14:textId="77777777" w:rsidR="00800387" w:rsidRDefault="00800387" w:rsidP="00800387"/>
        </w:tc>
      </w:tr>
    </w:tbl>
    <w:p w14:paraId="17506AE8" w14:textId="77777777" w:rsidR="003762DE" w:rsidRDefault="003762DE"/>
    <w:p w14:paraId="4B1266A8" w14:textId="0D17BAEB" w:rsidR="003762DE" w:rsidRDefault="003762DE">
      <w:r>
        <w:t>Reference:</w:t>
      </w:r>
    </w:p>
    <w:p w14:paraId="1BCDE91A" w14:textId="35355E8D" w:rsidR="003762DE" w:rsidRDefault="003762DE" w:rsidP="003762DE">
      <w:pPr>
        <w:pStyle w:val="ListParagraph"/>
        <w:numPr>
          <w:ilvl w:val="0"/>
          <w:numId w:val="8"/>
        </w:numPr>
      </w:pPr>
      <w:hyperlink r:id="rId18" w:history="1">
        <w:r w:rsidRPr="00082AA2">
          <w:rPr>
            <w:rStyle w:val="Hyperlink"/>
          </w:rPr>
          <w:t>https://learn.microsoft.com/en-us/microsoft-365/community/basic-security-set-up-for-microsoft-365#security-within-microsoft-365</w:t>
        </w:r>
      </w:hyperlink>
    </w:p>
    <w:p w14:paraId="6F92C3EB" w14:textId="49066559" w:rsidR="00186886" w:rsidRDefault="00186886" w:rsidP="003762DE">
      <w:pPr>
        <w:pStyle w:val="ListParagraph"/>
        <w:numPr>
          <w:ilvl w:val="0"/>
          <w:numId w:val="8"/>
        </w:numPr>
      </w:pPr>
      <w:hyperlink r:id="rId19" w:history="1">
        <w:r w:rsidRPr="00082AA2">
          <w:rPr>
            <w:rStyle w:val="Hyperlink"/>
          </w:rPr>
          <w:t>https://www.microsoft.com/en-ca/microsoft-365/enterprise/microsoft365-plans-and-pricing</w:t>
        </w:r>
      </w:hyperlink>
    </w:p>
    <w:p w14:paraId="61E4DEF4" w14:textId="77777777" w:rsidR="00186886" w:rsidRDefault="00186886" w:rsidP="00186886"/>
    <w:p w14:paraId="3A4A9E66" w14:textId="7D77E5E7" w:rsidR="00186886" w:rsidRDefault="00186886" w:rsidP="00186886">
      <w:r>
        <w:t>Microsoft 365 Apps for business</w:t>
      </w:r>
      <w:r w:rsidR="002D3F63">
        <w:t xml:space="preserve">, </w:t>
      </w:r>
      <w:r>
        <w:t>provides basic productivity tools but lacks several advanced features and services. Some of the key features not included are:</w:t>
      </w:r>
    </w:p>
    <w:p w14:paraId="5CE26D09" w14:textId="77777777" w:rsidR="00186886" w:rsidRDefault="00186886" w:rsidP="00186886">
      <w:pPr>
        <w:pStyle w:val="ListParagraph"/>
        <w:numPr>
          <w:ilvl w:val="0"/>
          <w:numId w:val="9"/>
        </w:numPr>
        <w:tabs>
          <w:tab w:val="left" w:pos="1260"/>
        </w:tabs>
      </w:pPr>
      <w:r>
        <w:t>Advanced Threat Protection (ATP): The free version does not include ATP, which provides enhanced protection against sophisticated threats such as phishing, malware, and ransomware. ATP helps to safeguard email, files, and collaboration tools like SharePoint and OneDrive.</w:t>
      </w:r>
    </w:p>
    <w:p w14:paraId="757DDD44" w14:textId="77777777" w:rsidR="00186886" w:rsidRDefault="00186886" w:rsidP="00186886">
      <w:pPr>
        <w:tabs>
          <w:tab w:val="left" w:pos="1260"/>
        </w:tabs>
      </w:pPr>
    </w:p>
    <w:p w14:paraId="789E623A" w14:textId="77777777" w:rsidR="00186886" w:rsidRDefault="00186886" w:rsidP="00186886">
      <w:pPr>
        <w:pStyle w:val="ListParagraph"/>
        <w:numPr>
          <w:ilvl w:val="0"/>
          <w:numId w:val="9"/>
        </w:numPr>
        <w:tabs>
          <w:tab w:val="left" w:pos="1260"/>
        </w:tabs>
      </w:pPr>
      <w:r>
        <w:t>Data Loss Prevention (DLP): DLP capabilities, which help prevent the unauthorized sharing of sensitive information and enforce compliance policies, are not included in the free version.</w:t>
      </w:r>
    </w:p>
    <w:p w14:paraId="6F2B33E4" w14:textId="77777777" w:rsidR="00186886" w:rsidRDefault="00186886" w:rsidP="00186886">
      <w:pPr>
        <w:tabs>
          <w:tab w:val="left" w:pos="1260"/>
        </w:tabs>
      </w:pPr>
    </w:p>
    <w:p w14:paraId="6772B686" w14:textId="77777777" w:rsidR="00186886" w:rsidRDefault="00186886" w:rsidP="00186886">
      <w:pPr>
        <w:pStyle w:val="ListParagraph"/>
        <w:numPr>
          <w:ilvl w:val="0"/>
          <w:numId w:val="9"/>
        </w:numPr>
        <w:tabs>
          <w:tab w:val="left" w:pos="1260"/>
        </w:tabs>
      </w:pPr>
      <w:r>
        <w:t>Identity and Access Management: Advanced identity and access management features such as Azure Active Directory Premium, which includes features like Conditional Access and Identity Protection, are not included in the free version. These features help secure user identities and access to resources.</w:t>
      </w:r>
    </w:p>
    <w:p w14:paraId="36D126E5" w14:textId="77777777" w:rsidR="00186886" w:rsidRDefault="00186886" w:rsidP="00186886">
      <w:pPr>
        <w:tabs>
          <w:tab w:val="left" w:pos="1260"/>
        </w:tabs>
      </w:pPr>
    </w:p>
    <w:p w14:paraId="10CDEE78" w14:textId="77777777" w:rsidR="00186886" w:rsidRDefault="00186886" w:rsidP="00186886">
      <w:pPr>
        <w:pStyle w:val="ListParagraph"/>
        <w:numPr>
          <w:ilvl w:val="0"/>
          <w:numId w:val="9"/>
        </w:numPr>
        <w:tabs>
          <w:tab w:val="left" w:pos="1260"/>
        </w:tabs>
      </w:pPr>
      <w:r>
        <w:t>Information Protection: Advanced information protection features such as Azure Information Protection, which allows organizations to classify, label, and protect sensitive data, are not included in the free version.</w:t>
      </w:r>
    </w:p>
    <w:p w14:paraId="47422BD0" w14:textId="77777777" w:rsidR="00186886" w:rsidRDefault="00186886" w:rsidP="00186886">
      <w:pPr>
        <w:tabs>
          <w:tab w:val="left" w:pos="1260"/>
        </w:tabs>
      </w:pPr>
    </w:p>
    <w:p w14:paraId="5097A992" w14:textId="77777777" w:rsidR="00186886" w:rsidRDefault="00186886" w:rsidP="00186886">
      <w:pPr>
        <w:pStyle w:val="ListParagraph"/>
        <w:numPr>
          <w:ilvl w:val="0"/>
          <w:numId w:val="9"/>
        </w:numPr>
        <w:tabs>
          <w:tab w:val="left" w:pos="1260"/>
        </w:tabs>
      </w:pPr>
      <w:r>
        <w:lastRenderedPageBreak/>
        <w:t>Security Configuration Policies: The free version does not provide access to security configuration policies, which allow organizations to enforce security settings across devices and applications, ensuring compliance with security standards and best practices.</w:t>
      </w:r>
    </w:p>
    <w:p w14:paraId="65512C2A" w14:textId="77777777" w:rsidR="00186886" w:rsidRDefault="00186886" w:rsidP="00186886">
      <w:pPr>
        <w:tabs>
          <w:tab w:val="left" w:pos="1260"/>
        </w:tabs>
      </w:pPr>
    </w:p>
    <w:p w14:paraId="76183733" w14:textId="77777777" w:rsidR="00186886" w:rsidRDefault="00186886" w:rsidP="00186886">
      <w:pPr>
        <w:pStyle w:val="ListParagraph"/>
        <w:numPr>
          <w:ilvl w:val="0"/>
          <w:numId w:val="9"/>
        </w:numPr>
        <w:tabs>
          <w:tab w:val="left" w:pos="1260"/>
        </w:tabs>
      </w:pPr>
      <w:r>
        <w:t>Advanced Security Reporting and Analytics: The free version lacks advanced security reporting and analytics capabilities that provide insights into security threats, compliance posture, and user behavior.</w:t>
      </w:r>
    </w:p>
    <w:p w14:paraId="1A0A879B" w14:textId="77777777" w:rsidR="00186886" w:rsidRDefault="00186886" w:rsidP="00186886">
      <w:pPr>
        <w:tabs>
          <w:tab w:val="left" w:pos="1260"/>
        </w:tabs>
      </w:pPr>
    </w:p>
    <w:p w14:paraId="272269BE" w14:textId="21010453" w:rsidR="00186886" w:rsidRDefault="00186886" w:rsidP="00186886">
      <w:pPr>
        <w:pStyle w:val="ListParagraph"/>
        <w:numPr>
          <w:ilvl w:val="0"/>
          <w:numId w:val="9"/>
        </w:numPr>
        <w:tabs>
          <w:tab w:val="left" w:pos="1260"/>
        </w:tabs>
      </w:pPr>
      <w:r>
        <w:t>Mobile Device Management (MDM): MDM capabilities for managing and securing mobile devices, such as enforcing device encryption, remote wipe, and app management, are not included in the free version.</w:t>
      </w:r>
    </w:p>
    <w:p w14:paraId="6A891620" w14:textId="77777777" w:rsidR="00186886" w:rsidRDefault="00186886" w:rsidP="00FF5976">
      <w:pPr>
        <w:tabs>
          <w:tab w:val="left" w:pos="1260"/>
        </w:tabs>
      </w:pPr>
    </w:p>
    <w:p w14:paraId="56A05E7A" w14:textId="77777777" w:rsidR="00186886" w:rsidRDefault="00186886" w:rsidP="00FF5976">
      <w:pPr>
        <w:pBdr>
          <w:bottom w:val="single" w:sz="6" w:space="1" w:color="auto"/>
        </w:pBdr>
        <w:tabs>
          <w:tab w:val="left" w:pos="1260"/>
        </w:tabs>
      </w:pPr>
    </w:p>
    <w:p w14:paraId="437C985D" w14:textId="09241C45" w:rsidR="00FF5976" w:rsidRDefault="00FF5976" w:rsidP="00FF5976">
      <w:pPr>
        <w:tabs>
          <w:tab w:val="left" w:pos="1260"/>
        </w:tabs>
      </w:pPr>
      <w:r>
        <w:t xml:space="preserve">Things suited from excel checklist for us: </w:t>
      </w:r>
    </w:p>
    <w:p w14:paraId="1DEE04A0" w14:textId="77777777" w:rsidR="00FF5976" w:rsidRDefault="00FF5976" w:rsidP="00FF5976">
      <w:pPr>
        <w:pStyle w:val="ListParagraph"/>
        <w:numPr>
          <w:ilvl w:val="0"/>
          <w:numId w:val="3"/>
        </w:numPr>
        <w:tabs>
          <w:tab w:val="left" w:pos="1260"/>
        </w:tabs>
      </w:pPr>
      <w:r>
        <w:t>Inventory and Control of Software Assets</w:t>
      </w:r>
    </w:p>
    <w:p w14:paraId="4F3423A0" w14:textId="7D9477D0" w:rsidR="00FF5976" w:rsidRDefault="00FF5976" w:rsidP="00FF5976">
      <w:pPr>
        <w:pStyle w:val="ListParagraph"/>
        <w:numPr>
          <w:ilvl w:val="0"/>
          <w:numId w:val="3"/>
        </w:numPr>
        <w:tabs>
          <w:tab w:val="left" w:pos="1260"/>
        </w:tabs>
      </w:pPr>
      <w:r>
        <w:t>Data Protection</w:t>
      </w:r>
    </w:p>
    <w:p w14:paraId="1E477F21" w14:textId="77777777" w:rsidR="00FF5976" w:rsidRDefault="00FF5976" w:rsidP="00FF5976">
      <w:pPr>
        <w:pStyle w:val="ListParagraph"/>
        <w:numPr>
          <w:ilvl w:val="0"/>
          <w:numId w:val="3"/>
        </w:numPr>
        <w:tabs>
          <w:tab w:val="left" w:pos="1260"/>
        </w:tabs>
      </w:pPr>
      <w:r>
        <w:t>** Account Management</w:t>
      </w:r>
    </w:p>
    <w:p w14:paraId="37E4CBD6" w14:textId="77777777" w:rsidR="00FF5976" w:rsidRDefault="00FF5976" w:rsidP="00FF5976">
      <w:pPr>
        <w:pStyle w:val="ListParagraph"/>
        <w:numPr>
          <w:ilvl w:val="0"/>
          <w:numId w:val="3"/>
        </w:numPr>
        <w:tabs>
          <w:tab w:val="left" w:pos="1260"/>
        </w:tabs>
      </w:pPr>
      <w:r>
        <w:t>Access Control Management</w:t>
      </w:r>
    </w:p>
    <w:p w14:paraId="5F6CA915" w14:textId="77777777" w:rsidR="00FF5976" w:rsidRDefault="00FF5976" w:rsidP="00FF5976">
      <w:pPr>
        <w:pStyle w:val="ListParagraph"/>
        <w:numPr>
          <w:ilvl w:val="0"/>
          <w:numId w:val="3"/>
        </w:numPr>
        <w:tabs>
          <w:tab w:val="left" w:pos="1260"/>
        </w:tabs>
      </w:pPr>
      <w:r>
        <w:t>Email and Web Browser Protections</w:t>
      </w:r>
    </w:p>
    <w:p w14:paraId="669F6A63" w14:textId="77777777" w:rsidR="00FF5976" w:rsidRDefault="00FF5976" w:rsidP="00FF5976">
      <w:pPr>
        <w:pStyle w:val="ListParagraph"/>
        <w:numPr>
          <w:ilvl w:val="0"/>
          <w:numId w:val="3"/>
        </w:numPr>
        <w:tabs>
          <w:tab w:val="left" w:pos="1260"/>
        </w:tabs>
      </w:pPr>
      <w:r>
        <w:t>Security Awareness and Skills Training</w:t>
      </w:r>
    </w:p>
    <w:p w14:paraId="0CC1370D" w14:textId="77777777" w:rsidR="00FF5976" w:rsidRDefault="00FF5976" w:rsidP="00FF5976">
      <w:pPr>
        <w:pStyle w:val="ListParagraph"/>
        <w:numPr>
          <w:ilvl w:val="0"/>
          <w:numId w:val="3"/>
        </w:numPr>
        <w:tabs>
          <w:tab w:val="left" w:pos="1260"/>
        </w:tabs>
      </w:pPr>
      <w:r>
        <w:t>Data Recovery</w:t>
      </w:r>
    </w:p>
    <w:p w14:paraId="6B69B474" w14:textId="1DFD9901" w:rsidR="00FF5976" w:rsidRDefault="00FF5976" w:rsidP="00FF5976">
      <w:pPr>
        <w:pStyle w:val="ListParagraph"/>
        <w:numPr>
          <w:ilvl w:val="0"/>
          <w:numId w:val="3"/>
        </w:numPr>
        <w:tabs>
          <w:tab w:val="left" w:pos="1260"/>
        </w:tabs>
      </w:pPr>
      <w:r>
        <w:t>Malware Defenses - Prevent or control the installation, spread, and execution of malicious applications, code, or scripts on enterprise assets.</w:t>
      </w:r>
      <w:r>
        <w:t xml:space="preserve"> </w:t>
      </w:r>
      <w:r>
        <w:t>Prevent or control the installation, spread, and execution of malicious applications, code, or scripts on enterprise assets.</w:t>
      </w:r>
    </w:p>
    <w:p w14:paraId="1BB144DD" w14:textId="513CB1F6" w:rsidR="00FF5976" w:rsidRDefault="00FF5976" w:rsidP="00FF5976">
      <w:pPr>
        <w:pStyle w:val="ListParagraph"/>
        <w:numPr>
          <w:ilvl w:val="0"/>
          <w:numId w:val="3"/>
        </w:numPr>
        <w:tabs>
          <w:tab w:val="left" w:pos="1260"/>
        </w:tabs>
      </w:pPr>
      <w:r>
        <w:t>Continuous Vulnerability Management</w:t>
      </w:r>
    </w:p>
    <w:p w14:paraId="011FE18F" w14:textId="77777777" w:rsidR="00F26F1A" w:rsidRDefault="00F26F1A" w:rsidP="00F26F1A">
      <w:pPr>
        <w:tabs>
          <w:tab w:val="left" w:pos="1260"/>
        </w:tabs>
      </w:pPr>
    </w:p>
    <w:sectPr w:rsidR="00F2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188"/>
    <w:multiLevelType w:val="hybridMultilevel"/>
    <w:tmpl w:val="F61E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664"/>
    <w:multiLevelType w:val="hybridMultilevel"/>
    <w:tmpl w:val="6B4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57E92"/>
    <w:multiLevelType w:val="hybridMultilevel"/>
    <w:tmpl w:val="0B3A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26F2"/>
    <w:multiLevelType w:val="hybridMultilevel"/>
    <w:tmpl w:val="94AE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30CDB"/>
    <w:multiLevelType w:val="hybridMultilevel"/>
    <w:tmpl w:val="CB52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E5196"/>
    <w:multiLevelType w:val="hybridMultilevel"/>
    <w:tmpl w:val="536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7241D"/>
    <w:multiLevelType w:val="multilevel"/>
    <w:tmpl w:val="4EBE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2439F"/>
    <w:multiLevelType w:val="hybridMultilevel"/>
    <w:tmpl w:val="D686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8331F"/>
    <w:multiLevelType w:val="hybridMultilevel"/>
    <w:tmpl w:val="C540BA6E"/>
    <w:lvl w:ilvl="0" w:tplc="7FE60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69450">
    <w:abstractNumId w:val="2"/>
  </w:num>
  <w:num w:numId="2" w16cid:durableId="172184839">
    <w:abstractNumId w:val="3"/>
  </w:num>
  <w:num w:numId="3" w16cid:durableId="1980836347">
    <w:abstractNumId w:val="5"/>
  </w:num>
  <w:num w:numId="4" w16cid:durableId="1054230040">
    <w:abstractNumId w:val="7"/>
  </w:num>
  <w:num w:numId="5" w16cid:durableId="1504737154">
    <w:abstractNumId w:val="0"/>
  </w:num>
  <w:num w:numId="6" w16cid:durableId="2119519167">
    <w:abstractNumId w:val="6"/>
  </w:num>
  <w:num w:numId="7" w16cid:durableId="1890190188">
    <w:abstractNumId w:val="1"/>
  </w:num>
  <w:num w:numId="8" w16cid:durableId="71901577">
    <w:abstractNumId w:val="8"/>
  </w:num>
  <w:num w:numId="9" w16cid:durableId="47654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1A"/>
    <w:rsid w:val="000A1616"/>
    <w:rsid w:val="00186886"/>
    <w:rsid w:val="002D3F63"/>
    <w:rsid w:val="003762DE"/>
    <w:rsid w:val="00800387"/>
    <w:rsid w:val="00CE701F"/>
    <w:rsid w:val="00E4028A"/>
    <w:rsid w:val="00EE0617"/>
    <w:rsid w:val="00F26F1A"/>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EB34"/>
  <w15:chartTrackingRefBased/>
  <w15:docId w15:val="{BE3D7827-5E6B-4A1B-A3D7-E2CC3477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F1A"/>
    <w:pPr>
      <w:ind w:left="720"/>
      <w:contextualSpacing/>
    </w:pPr>
  </w:style>
  <w:style w:type="character" w:styleId="Hyperlink">
    <w:name w:val="Hyperlink"/>
    <w:basedOn w:val="DefaultParagraphFont"/>
    <w:uiPriority w:val="99"/>
    <w:unhideWhenUsed/>
    <w:rsid w:val="00CE701F"/>
    <w:rPr>
      <w:color w:val="0563C1" w:themeColor="hyperlink"/>
      <w:u w:val="single"/>
    </w:rPr>
  </w:style>
  <w:style w:type="character" w:styleId="UnresolvedMention">
    <w:name w:val="Unresolved Mention"/>
    <w:basedOn w:val="DefaultParagraphFont"/>
    <w:uiPriority w:val="99"/>
    <w:semiHidden/>
    <w:unhideWhenUsed/>
    <w:rsid w:val="00CE701F"/>
    <w:rPr>
      <w:color w:val="605E5C"/>
      <w:shd w:val="clear" w:color="auto" w:fill="E1DFDD"/>
    </w:rPr>
  </w:style>
  <w:style w:type="table" w:styleId="TableGrid">
    <w:name w:val="Table Grid"/>
    <w:basedOn w:val="TableNormal"/>
    <w:uiPriority w:val="39"/>
    <w:rsid w:val="0080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634">
      <w:bodyDiv w:val="1"/>
      <w:marLeft w:val="0"/>
      <w:marRight w:val="0"/>
      <w:marTop w:val="0"/>
      <w:marBottom w:val="0"/>
      <w:divBdr>
        <w:top w:val="none" w:sz="0" w:space="0" w:color="auto"/>
        <w:left w:val="none" w:sz="0" w:space="0" w:color="auto"/>
        <w:bottom w:val="none" w:sz="0" w:space="0" w:color="auto"/>
        <w:right w:val="none" w:sz="0" w:space="0" w:color="auto"/>
      </w:divBdr>
    </w:div>
    <w:div w:id="249239339">
      <w:bodyDiv w:val="1"/>
      <w:marLeft w:val="0"/>
      <w:marRight w:val="0"/>
      <w:marTop w:val="0"/>
      <w:marBottom w:val="0"/>
      <w:divBdr>
        <w:top w:val="none" w:sz="0" w:space="0" w:color="auto"/>
        <w:left w:val="none" w:sz="0" w:space="0" w:color="auto"/>
        <w:bottom w:val="none" w:sz="0" w:space="0" w:color="auto"/>
        <w:right w:val="none" w:sz="0" w:space="0" w:color="auto"/>
      </w:divBdr>
    </w:div>
    <w:div w:id="306983279">
      <w:bodyDiv w:val="1"/>
      <w:marLeft w:val="0"/>
      <w:marRight w:val="0"/>
      <w:marTop w:val="0"/>
      <w:marBottom w:val="0"/>
      <w:divBdr>
        <w:top w:val="none" w:sz="0" w:space="0" w:color="auto"/>
        <w:left w:val="none" w:sz="0" w:space="0" w:color="auto"/>
        <w:bottom w:val="none" w:sz="0" w:space="0" w:color="auto"/>
        <w:right w:val="none" w:sz="0" w:space="0" w:color="auto"/>
      </w:divBdr>
    </w:div>
    <w:div w:id="309749221">
      <w:bodyDiv w:val="1"/>
      <w:marLeft w:val="0"/>
      <w:marRight w:val="0"/>
      <w:marTop w:val="0"/>
      <w:marBottom w:val="0"/>
      <w:divBdr>
        <w:top w:val="none" w:sz="0" w:space="0" w:color="auto"/>
        <w:left w:val="none" w:sz="0" w:space="0" w:color="auto"/>
        <w:bottom w:val="none" w:sz="0" w:space="0" w:color="auto"/>
        <w:right w:val="none" w:sz="0" w:space="0" w:color="auto"/>
      </w:divBdr>
    </w:div>
    <w:div w:id="375543422">
      <w:bodyDiv w:val="1"/>
      <w:marLeft w:val="0"/>
      <w:marRight w:val="0"/>
      <w:marTop w:val="0"/>
      <w:marBottom w:val="0"/>
      <w:divBdr>
        <w:top w:val="none" w:sz="0" w:space="0" w:color="auto"/>
        <w:left w:val="none" w:sz="0" w:space="0" w:color="auto"/>
        <w:bottom w:val="none" w:sz="0" w:space="0" w:color="auto"/>
        <w:right w:val="none" w:sz="0" w:space="0" w:color="auto"/>
      </w:divBdr>
    </w:div>
    <w:div w:id="477380070">
      <w:bodyDiv w:val="1"/>
      <w:marLeft w:val="0"/>
      <w:marRight w:val="0"/>
      <w:marTop w:val="0"/>
      <w:marBottom w:val="0"/>
      <w:divBdr>
        <w:top w:val="none" w:sz="0" w:space="0" w:color="auto"/>
        <w:left w:val="none" w:sz="0" w:space="0" w:color="auto"/>
        <w:bottom w:val="none" w:sz="0" w:space="0" w:color="auto"/>
        <w:right w:val="none" w:sz="0" w:space="0" w:color="auto"/>
      </w:divBdr>
    </w:div>
    <w:div w:id="520436868">
      <w:bodyDiv w:val="1"/>
      <w:marLeft w:val="0"/>
      <w:marRight w:val="0"/>
      <w:marTop w:val="0"/>
      <w:marBottom w:val="0"/>
      <w:divBdr>
        <w:top w:val="none" w:sz="0" w:space="0" w:color="auto"/>
        <w:left w:val="none" w:sz="0" w:space="0" w:color="auto"/>
        <w:bottom w:val="none" w:sz="0" w:space="0" w:color="auto"/>
        <w:right w:val="none" w:sz="0" w:space="0" w:color="auto"/>
      </w:divBdr>
    </w:div>
    <w:div w:id="647052336">
      <w:bodyDiv w:val="1"/>
      <w:marLeft w:val="0"/>
      <w:marRight w:val="0"/>
      <w:marTop w:val="0"/>
      <w:marBottom w:val="0"/>
      <w:divBdr>
        <w:top w:val="none" w:sz="0" w:space="0" w:color="auto"/>
        <w:left w:val="none" w:sz="0" w:space="0" w:color="auto"/>
        <w:bottom w:val="none" w:sz="0" w:space="0" w:color="auto"/>
        <w:right w:val="none" w:sz="0" w:space="0" w:color="auto"/>
      </w:divBdr>
    </w:div>
    <w:div w:id="681250641">
      <w:bodyDiv w:val="1"/>
      <w:marLeft w:val="0"/>
      <w:marRight w:val="0"/>
      <w:marTop w:val="0"/>
      <w:marBottom w:val="0"/>
      <w:divBdr>
        <w:top w:val="none" w:sz="0" w:space="0" w:color="auto"/>
        <w:left w:val="none" w:sz="0" w:space="0" w:color="auto"/>
        <w:bottom w:val="none" w:sz="0" w:space="0" w:color="auto"/>
        <w:right w:val="none" w:sz="0" w:space="0" w:color="auto"/>
      </w:divBdr>
    </w:div>
    <w:div w:id="734014446">
      <w:bodyDiv w:val="1"/>
      <w:marLeft w:val="0"/>
      <w:marRight w:val="0"/>
      <w:marTop w:val="0"/>
      <w:marBottom w:val="0"/>
      <w:divBdr>
        <w:top w:val="none" w:sz="0" w:space="0" w:color="auto"/>
        <w:left w:val="none" w:sz="0" w:space="0" w:color="auto"/>
        <w:bottom w:val="none" w:sz="0" w:space="0" w:color="auto"/>
        <w:right w:val="none" w:sz="0" w:space="0" w:color="auto"/>
      </w:divBdr>
    </w:div>
    <w:div w:id="834102538">
      <w:bodyDiv w:val="1"/>
      <w:marLeft w:val="0"/>
      <w:marRight w:val="0"/>
      <w:marTop w:val="0"/>
      <w:marBottom w:val="0"/>
      <w:divBdr>
        <w:top w:val="none" w:sz="0" w:space="0" w:color="auto"/>
        <w:left w:val="none" w:sz="0" w:space="0" w:color="auto"/>
        <w:bottom w:val="none" w:sz="0" w:space="0" w:color="auto"/>
        <w:right w:val="none" w:sz="0" w:space="0" w:color="auto"/>
      </w:divBdr>
    </w:div>
    <w:div w:id="867378244">
      <w:bodyDiv w:val="1"/>
      <w:marLeft w:val="0"/>
      <w:marRight w:val="0"/>
      <w:marTop w:val="0"/>
      <w:marBottom w:val="0"/>
      <w:divBdr>
        <w:top w:val="none" w:sz="0" w:space="0" w:color="auto"/>
        <w:left w:val="none" w:sz="0" w:space="0" w:color="auto"/>
        <w:bottom w:val="none" w:sz="0" w:space="0" w:color="auto"/>
        <w:right w:val="none" w:sz="0" w:space="0" w:color="auto"/>
      </w:divBdr>
    </w:div>
    <w:div w:id="901716175">
      <w:bodyDiv w:val="1"/>
      <w:marLeft w:val="0"/>
      <w:marRight w:val="0"/>
      <w:marTop w:val="0"/>
      <w:marBottom w:val="0"/>
      <w:divBdr>
        <w:top w:val="none" w:sz="0" w:space="0" w:color="auto"/>
        <w:left w:val="none" w:sz="0" w:space="0" w:color="auto"/>
        <w:bottom w:val="none" w:sz="0" w:space="0" w:color="auto"/>
        <w:right w:val="none" w:sz="0" w:space="0" w:color="auto"/>
      </w:divBdr>
    </w:div>
    <w:div w:id="941648228">
      <w:bodyDiv w:val="1"/>
      <w:marLeft w:val="0"/>
      <w:marRight w:val="0"/>
      <w:marTop w:val="0"/>
      <w:marBottom w:val="0"/>
      <w:divBdr>
        <w:top w:val="none" w:sz="0" w:space="0" w:color="auto"/>
        <w:left w:val="none" w:sz="0" w:space="0" w:color="auto"/>
        <w:bottom w:val="none" w:sz="0" w:space="0" w:color="auto"/>
        <w:right w:val="none" w:sz="0" w:space="0" w:color="auto"/>
      </w:divBdr>
    </w:div>
    <w:div w:id="1117025346">
      <w:bodyDiv w:val="1"/>
      <w:marLeft w:val="0"/>
      <w:marRight w:val="0"/>
      <w:marTop w:val="0"/>
      <w:marBottom w:val="0"/>
      <w:divBdr>
        <w:top w:val="none" w:sz="0" w:space="0" w:color="auto"/>
        <w:left w:val="none" w:sz="0" w:space="0" w:color="auto"/>
        <w:bottom w:val="none" w:sz="0" w:space="0" w:color="auto"/>
        <w:right w:val="none" w:sz="0" w:space="0" w:color="auto"/>
      </w:divBdr>
    </w:div>
    <w:div w:id="1318026718">
      <w:bodyDiv w:val="1"/>
      <w:marLeft w:val="0"/>
      <w:marRight w:val="0"/>
      <w:marTop w:val="0"/>
      <w:marBottom w:val="0"/>
      <w:divBdr>
        <w:top w:val="none" w:sz="0" w:space="0" w:color="auto"/>
        <w:left w:val="none" w:sz="0" w:space="0" w:color="auto"/>
        <w:bottom w:val="none" w:sz="0" w:space="0" w:color="auto"/>
        <w:right w:val="none" w:sz="0" w:space="0" w:color="auto"/>
      </w:divBdr>
    </w:div>
    <w:div w:id="1435712082">
      <w:bodyDiv w:val="1"/>
      <w:marLeft w:val="0"/>
      <w:marRight w:val="0"/>
      <w:marTop w:val="0"/>
      <w:marBottom w:val="0"/>
      <w:divBdr>
        <w:top w:val="none" w:sz="0" w:space="0" w:color="auto"/>
        <w:left w:val="none" w:sz="0" w:space="0" w:color="auto"/>
        <w:bottom w:val="none" w:sz="0" w:space="0" w:color="auto"/>
        <w:right w:val="none" w:sz="0" w:space="0" w:color="auto"/>
      </w:divBdr>
    </w:div>
    <w:div w:id="1469783476">
      <w:bodyDiv w:val="1"/>
      <w:marLeft w:val="0"/>
      <w:marRight w:val="0"/>
      <w:marTop w:val="0"/>
      <w:marBottom w:val="0"/>
      <w:divBdr>
        <w:top w:val="none" w:sz="0" w:space="0" w:color="auto"/>
        <w:left w:val="none" w:sz="0" w:space="0" w:color="auto"/>
        <w:bottom w:val="none" w:sz="0" w:space="0" w:color="auto"/>
        <w:right w:val="none" w:sz="0" w:space="0" w:color="auto"/>
      </w:divBdr>
    </w:div>
    <w:div w:id="1966496551">
      <w:bodyDiv w:val="1"/>
      <w:marLeft w:val="0"/>
      <w:marRight w:val="0"/>
      <w:marTop w:val="0"/>
      <w:marBottom w:val="0"/>
      <w:divBdr>
        <w:top w:val="none" w:sz="0" w:space="0" w:color="auto"/>
        <w:left w:val="none" w:sz="0" w:space="0" w:color="auto"/>
        <w:bottom w:val="none" w:sz="0" w:space="0" w:color="auto"/>
        <w:right w:val="none" w:sz="0" w:space="0" w:color="auto"/>
      </w:divBdr>
    </w:div>
    <w:div w:id="21460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conditional-access/block-legacy-authentication" TargetMode="External"/><Relationship Id="rId13" Type="http://schemas.openxmlformats.org/officeDocument/2006/relationships/hyperlink" Target="https://learn.microsoft.com/en-us/azure/active-directory/authentication/howto-password-smart-lockout" TargetMode="External"/><Relationship Id="rId18" Type="http://schemas.openxmlformats.org/officeDocument/2006/relationships/hyperlink" Target="https://learn.microsoft.com/en-us/microsoft-365/community/basic-security-set-up-for-microsoft-365#security-within-microsoft-3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zure/active-directory/conditional-access/howto-conditional-access-policy-all-users-mfa#create-a-conditional-access-policy" TargetMode="External"/><Relationship Id="rId12" Type="http://schemas.openxmlformats.org/officeDocument/2006/relationships/hyperlink" Target="https://learn.microsoft.com/en-us/sharepoint/turn-external-sharing-on-or-off" TargetMode="External"/><Relationship Id="rId17" Type="http://schemas.openxmlformats.org/officeDocument/2006/relationships/hyperlink" Target="https://learn.microsoft.com/en-us/azure/active-directory/manage-apps/configure-admin-consent-workflow#enable-the-admin-consent-workflow" TargetMode="External"/><Relationship Id="rId2" Type="http://schemas.openxmlformats.org/officeDocument/2006/relationships/styles" Target="styles.xml"/><Relationship Id="rId16" Type="http://schemas.openxmlformats.org/officeDocument/2006/relationships/hyperlink" Target="https://learn.microsoft.com/en-us/azure/active-directory/manage-apps/configure-user-cons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ctive-directory/conditional-access/howto-conditional-access-policy-admin-mfa#create-a-conditional-access-policy" TargetMode="External"/><Relationship Id="rId11" Type="http://schemas.openxmlformats.org/officeDocument/2006/relationships/hyperlink" Target="https://learn.microsoft.com/en-us/azure/active-directory/authentication/tutorial-configure-custom-password-protection" TargetMode="External"/><Relationship Id="rId5" Type="http://schemas.openxmlformats.org/officeDocument/2006/relationships/image" Target="media/image1.png"/><Relationship Id="rId15" Type="http://schemas.openxmlformats.org/officeDocument/2006/relationships/hyperlink" Target="https://support.microsoft.com/office/stop-auto-forwarding-emails-in-microsoft-365-f9d693ba-5c78-47c0-b156-8e461e062aa7" TargetMode="External"/><Relationship Id="rId10" Type="http://schemas.openxmlformats.org/officeDocument/2006/relationships/hyperlink" Target="https://learn.microsoft.com/en-us/microsoft-365/admin/add-users/set-password-to-never-expire" TargetMode="External"/><Relationship Id="rId19" Type="http://schemas.openxmlformats.org/officeDocument/2006/relationships/hyperlink" Target="https://www.microsoft.com/en-ca/microsoft-365/enterprise/microsoft365-plans-and-pricing" TargetMode="External"/><Relationship Id="rId4" Type="http://schemas.openxmlformats.org/officeDocument/2006/relationships/webSettings" Target="webSettings.xml"/><Relationship Id="rId9" Type="http://schemas.openxmlformats.org/officeDocument/2006/relationships/hyperlink" Target="https://learn.microsoft.com/en-us/microsoft-365/admin/manage/set-password-expiration-policy" TargetMode="External"/><Relationship Id="rId14" Type="http://schemas.openxmlformats.org/officeDocument/2006/relationships/hyperlink" Target="https://learn.microsoft.com/en-us/mem/intune/apps/app-protec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3</cp:revision>
  <dcterms:created xsi:type="dcterms:W3CDTF">2024-02-14T00:49:00Z</dcterms:created>
  <dcterms:modified xsi:type="dcterms:W3CDTF">2024-02-14T02:35:00Z</dcterms:modified>
</cp:coreProperties>
</file>