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GOAL</w:t>
      </w:r>
    </w:p>
    <w:p>
      <w:pPr>
        <w:jc w:val="center"/>
      </w:pPr>
      <w:r>
        <w:rPr>
          <w:b/>
          <w:sz w:val="26"/>
        </w:rPr>
        <w:t>Architecture, Product Completion, Provider Agnosticism &amp; Final Certification</w:t>
      </w:r>
    </w:p>
    <w:p>
      <w:pPr>
        <w:jc w:val="center"/>
      </w:pPr>
      <w:r>
        <w:rPr>
          <w:i/>
        </w:rPr>
        <w:t>CRM — AI Security + Business CRM SaaS</w:t>
      </w:r>
    </w:p>
    <w:tbl>
      <w:tblPr>
        <w:tblW w:type="auto" w:w="0"/>
        <w:tblLook w:firstColumn="1" w:firstRow="1" w:lastColumn="0" w:lastRow="0" w:noHBand="0" w:noVBand="1" w:val="04A0"/>
      </w:tblPr>
      <w:tblGrid>
        <w:gridCol w:w="9936"/>
      </w:tblGrid>
      <w:tr>
        <w:tc>
          <w:tcPr>
            <w:tcW w:type="dxa" w:w="9936"/>
            <w:shd w:fill="F2F4F7"/>
          </w:tcPr>
          <w:p>
            <w:r>
              <w:rPr>
                <w:b/>
              </w:rPr>
              <w:t>Executive Goal</w:t>
              <w:br/>
            </w:r>
            <w:r>
              <w:t>Build the CRM as a strong, provider-agnostic platform whose core business, security, tenant, authorization, workflow and product logic does not need to be rewritten when a real client brings different external infrastructure. Client-specific credentials and configuration should plug into explicit, secure provider contracts/adapters. The platform must then be health-checked, integration-certified and made operational without redesigning the core product.</w:t>
            </w:r>
          </w:p>
        </w:tc>
      </w:tr>
    </w:tbl>
    <w:p/>
    <w:p>
      <w:pPr>
        <w:pStyle w:val="Heading1"/>
      </w:pPr>
      <w:r>
        <w:t>1. Purpose of This Goal</w:t>
      </w:r>
    </w:p>
    <w:p>
      <w:r>
        <w:t>This document establishes a permanent product and architecture goal for the CRM project. The objective is not merely to finish screens, APIs, or individual integrations. The objective is to build a durable platform core that remains stable while external vendors and client infrastructure vary.</w:t>
        <w:br/>
        <w:br/>
        <w:t>The central architectural boundary is between the CRM's own business/security/domain logic and external systems such as email, telephony, realtime transport, storage, AI providers, CCTV streaming infrastructure, and related services. External systems must be integrated through controlled boundaries rather than becoming embedded throughout the product.</w:t>
        <w:br/>
        <w:br/>
        <w:t>The project must therefore be evaluated on two separate dimensions: implementation maturity and real-world certification maturity. A missing external credential is not automatically a missing application feature; similarly, an abstraction in source code is not proof that an arbitrary future provider will work.</w:t>
      </w:r>
    </w:p>
    <w:p>
      <w:pPr>
        <w:pStyle w:val="Heading1"/>
      </w:pPr>
      <w:r>
        <w:t>2. Current Product Maturity</w:t>
      </w:r>
    </w:p>
    <w:p>
      <w:r>
        <w:t>The current planning estimate is approximately 65–70% of the final product, with a best single-number estimate of about 67%. This is a directional planning estimate, not a measured KPI, code-coverage figure, or contractual readiness score.</w:t>
      </w:r>
    </w:p>
    <w:tbl>
      <w:tblPr>
        <w:tblW w:type="auto" w:w="0"/>
        <w:tblLook w:firstColumn="1" w:firstRow="1" w:lastColumn="0" w:lastRow="0" w:noHBand="0" w:noVBand="1" w:val="04A0"/>
      </w:tblPr>
      <w:tblGrid>
        <w:gridCol w:w="3312"/>
        <w:gridCol w:w="3312"/>
        <w:gridCol w:w="3312"/>
      </w:tblGrid>
      <w:tr>
        <w:tc>
          <w:tcPr>
            <w:tcW w:type="dxa" w:w="3312"/>
          </w:tcPr>
          <w:p>
            <w:r>
              <w:t>Dimension</w:t>
            </w:r>
          </w:p>
        </w:tc>
        <w:tc>
          <w:tcPr>
            <w:tcW w:type="dxa" w:w="3312"/>
          </w:tcPr>
          <w:p>
            <w:r>
              <w:t>Estimate</w:t>
            </w:r>
          </w:p>
        </w:tc>
        <w:tc>
          <w:tcPr>
            <w:tcW w:type="dxa" w:w="3312"/>
          </w:tcPr>
          <w:p>
            <w:r>
              <w:t>What it measures</w:t>
            </w:r>
          </w:p>
        </w:tc>
      </w:tr>
      <w:tr>
        <w:tc>
          <w:tcPr>
            <w:tcW w:type="dxa" w:w="3312"/>
          </w:tcPr>
          <w:p>
            <w:r>
              <w:t>Core engineering/platform foundation</w:t>
            </w:r>
          </w:p>
        </w:tc>
        <w:tc>
          <w:tcPr>
            <w:tcW w:type="dxa" w:w="3312"/>
          </w:tcPr>
          <w:p>
            <w:r>
              <w:t>~80–85%</w:t>
            </w:r>
          </w:p>
        </w:tc>
        <w:tc>
          <w:tcPr>
            <w:tcW w:type="dxa" w:w="3312"/>
          </w:tcPr>
          <w:p>
            <w:r>
              <w:t>Architecture, security boundaries, abstractions, core infrastructure and substantial backend foundations.</w:t>
            </w:r>
          </w:p>
        </w:tc>
      </w:tr>
      <w:tr>
        <w:tc>
          <w:tcPr>
            <w:tcW w:type="dxa" w:w="3312"/>
          </w:tcPr>
          <w:p>
            <w:r>
              <w:t>Application/product functionality</w:t>
            </w:r>
          </w:p>
        </w:tc>
        <w:tc>
          <w:tcPr>
            <w:tcW w:type="dxa" w:w="3312"/>
          </w:tcPr>
          <w:p>
            <w:r>
              <w:t>~65–70%</w:t>
            </w:r>
          </w:p>
        </w:tc>
        <w:tc>
          <w:tcPr>
            <w:tcW w:type="dxa" w:w="3312"/>
          </w:tcPr>
          <w:p>
            <w:r>
              <w:t>Implemented product capability across CRM, communication, realtime, CCTV, AI, workforce, reporting and operations.</w:t>
            </w:r>
          </w:p>
        </w:tc>
      </w:tr>
      <w:tr>
        <w:tc>
          <w:tcPr>
            <w:tcW w:type="dxa" w:w="3312"/>
          </w:tcPr>
          <w:p>
            <w:r>
              <w:t>Fully production-certified product</w:t>
            </w:r>
          </w:p>
        </w:tc>
        <w:tc>
          <w:tcPr>
            <w:tcW w:type="dxa" w:w="3312"/>
          </w:tcPr>
          <w:p>
            <w:r>
              <w:t>~35–45%</w:t>
            </w:r>
          </w:p>
        </w:tc>
        <w:tc>
          <w:tcPr>
            <w:tcW w:type="dxa" w:w="3312"/>
          </w:tcPr>
          <w:p>
            <w:r>
              <w:t>Real-provider E2E, operational drills, scale evidence, client provisioning and final production certification.</w:t>
            </w:r>
          </w:p>
        </w:tc>
      </w:tr>
    </w:tbl>
    <w:p>
      <w:r>
        <w:t>The lower production-certification percentage must not be interpreted as “only 35–45% of the product has been built.” Much of that gap consists of evidence that cannot honestly be generated until isolated, client-like infrastructure and legitimate credentials are available.</w:t>
      </w:r>
    </w:p>
    <w:p>
      <w:pPr>
        <w:pStyle w:val="Heading1"/>
      </w:pPr>
      <w:r>
        <w:t>3. Capability-Level Planning Estimate</w:t>
      </w:r>
    </w:p>
    <w:p>
      <w:pPr>
        <w:pStyle w:val="ListBullet"/>
      </w:pPr>
      <w:r>
        <w:t>Core architecture and security — 80–85%</w:t>
      </w:r>
    </w:p>
    <w:p>
      <w:pPr>
        <w:pStyle w:val="ListBullet"/>
      </w:pPr>
      <w:r>
        <w:t>CRM — 85–95%</w:t>
      </w:r>
    </w:p>
    <w:p>
      <w:pPr>
        <w:pStyle w:val="ListBullet"/>
      </w:pPr>
      <w:r>
        <w:t>Revenue foundation — 80–90%</w:t>
      </w:r>
    </w:p>
    <w:p>
      <w:pPr>
        <w:pStyle w:val="ListBullet"/>
      </w:pPr>
      <w:r>
        <w:t>Communication — 70–80%</w:t>
      </w:r>
    </w:p>
    <w:p>
      <w:pPr>
        <w:pStyle w:val="ListBullet"/>
      </w:pPr>
      <w:r>
        <w:t>Realtime/internal calling — 70–80%</w:t>
      </w:r>
    </w:p>
    <w:p>
      <w:pPr>
        <w:pStyle w:val="ListBullet"/>
      </w:pPr>
      <w:r>
        <w:t>CCTV core — 85–90%</w:t>
      </w:r>
    </w:p>
    <w:p>
      <w:pPr>
        <w:pStyle w:val="ListBullet"/>
      </w:pPr>
      <w:r>
        <w:t>AI — 50–60%</w:t>
      </w:r>
    </w:p>
    <w:p>
      <w:pPr>
        <w:pStyle w:val="ListBullet"/>
      </w:pPr>
      <w:r>
        <w:t>Workforce/organization — 85–90%</w:t>
      </w:r>
    </w:p>
    <w:p>
      <w:pPr>
        <w:pStyle w:val="ListBullet"/>
      </w:pPr>
      <w:r>
        <w:t>Reporting — 70–80%</w:t>
      </w:r>
    </w:p>
    <w:p>
      <w:pPr>
        <w:pStyle w:val="ListBullet"/>
      </w:pPr>
      <w:r>
        <w:t>Workers/operations — 70–80%</w:t>
      </w:r>
    </w:p>
    <w:p>
      <w:pPr>
        <w:pStyle w:val="ListBullet"/>
      </w:pPr>
      <w:r>
        <w:t>Disaster recovery — 70–80%</w:t>
      </w:r>
    </w:p>
    <w:p>
      <w:pPr>
        <w:pStyle w:val="ListBullet"/>
      </w:pPr>
      <w:r>
        <w:t>Scale/load certification — 50–60%</w:t>
      </w:r>
    </w:p>
    <w:p>
      <w:pPr>
        <w:pStyle w:val="ListBullet"/>
      </w:pPr>
      <w:r>
        <w:t>Client provisioning — 60–70%</w:t>
      </w:r>
    </w:p>
    <w:p>
      <w:pPr>
        <w:pStyle w:val="ListBullet"/>
      </w:pPr>
      <w:r>
        <w:t>Final production certification — 35–45%</w:t>
      </w:r>
    </w:p>
    <w:p>
      <w:pPr>
        <w:pStyle w:val="Heading1"/>
      </w:pPr>
      <w:r>
        <w:t>4. The Core Requirement: Credentials Should Configure, Not Rebuild</w:t>
      </w:r>
    </w:p>
    <w:p>
      <w:r>
        <w:t>The fundamental requirement is that when a real client supplies legitimate credentials, endpoints, identifiers and supported infrastructure, the deployment should become operational primarily through configuration and certification—not by rewriting the CRM's core business logic.</w:t>
      </w:r>
    </w:p>
    <w:p>
      <w:pPr>
        <w:ind w:left="432"/>
      </w:pPr>
      <w:r>
        <w:rPr>
          <w:rFonts w:ascii="Consolas" w:hAnsi="Consolas"/>
          <w:sz w:val="18"/>
        </w:rPr>
        <w:t>Client infrastructure</w:t>
        <w:br/>
        <w:t xml:space="preserve">        ↓</w:t>
        <w:br/>
        <w:t>credentials + configuration</w:t>
        <w:br/>
        <w:t xml:space="preserve">        ↓</w:t>
        <w:br/>
        <w:t>provider contract / adapter</w:t>
        <w:br/>
        <w:t xml:space="preserve">        ↓</w:t>
        <w:br/>
        <w:t>health checks + capability detection</w:t>
        <w:br/>
        <w:t xml:space="preserve">        ↓</w:t>
        <w:br/>
        <w:t>sandbox / integration certification</w:t>
        <w:br/>
        <w:t xml:space="preserve">        ↓</w:t>
        <w:br/>
        <w:t>READY</w:t>
      </w:r>
    </w:p>
    <w:p>
      <w:r>
        <w:t>This means provider-specific implementation belongs at the boundary. The CRM core should own business meaning, authorization, tenant isolation, lifecycle, auditability, workflows and domain rules. The external adapter should translate those requirements into the provider's API/protocol semantics.</w:t>
      </w:r>
    </w:p>
    <w:p>
      <w:pPr>
        <w:pStyle w:val="Heading1"/>
      </w:pPr>
      <w:r>
        <w:t>5. What “Regardless of the Platform” Means</w:t>
      </w:r>
    </w:p>
    <w:p>
      <w:r>
        <w:t>“Regardless of the platform” should be treated as provider/platform independence, not as a literal promise that every arbitrary vendor on earth will work with one credential field and zero integration effort. External platforms can expose fundamentally different APIs, protocols, authentication models, webhook systems and capabilities.</w:t>
      </w:r>
    </w:p>
    <w:tbl>
      <w:tblPr>
        <w:tblW w:type="auto" w:w="0"/>
        <w:tblLook w:firstColumn="1" w:firstRow="1" w:lastColumn="0" w:lastRow="0" w:noHBand="0" w:noVBand="1" w:val="04A0"/>
      </w:tblPr>
      <w:tblGrid>
        <w:gridCol w:w="9936"/>
      </w:tblGrid>
      <w:tr>
        <w:tc>
          <w:tcPr>
            <w:tcW w:type="dxa" w:w="9936"/>
            <w:shd w:fill="F2F4F7"/>
          </w:tcPr>
          <w:p>
            <w:r>
              <w:rPr>
                <w:b/>
              </w:rPr>
              <w:t>Correct interpretation</w:t>
              <w:br/>
            </w:r>
            <w:r>
              <w:t>For every supported integration class, the CRM core remains stable and external systems are connected through explicit provider contracts/adapters. If a new vendor is fundamentally different, the expected engineering work is isolated to a compatible adapter or capability layer—not a rewrite of CRM business logic, tenant isolation, authorization, workflows or core domain architecture.</w:t>
            </w:r>
          </w:p>
        </w:tc>
      </w:tr>
    </w:tbl>
    <w:p/>
    <w:p>
      <w:pPr>
        <w:pStyle w:val="ListBullet"/>
      </w:pPr>
      <w:r>
        <w:t>Do not embed Twilio-specific calls throughout CRM calling logic.</w:t>
      </w:r>
    </w:p>
    <w:p>
      <w:pPr>
        <w:pStyle w:val="ListBullet"/>
      </w:pPr>
      <w:r>
        <w:t>Do not assume every email provider has identical webhook or idempotency semantics.</w:t>
      </w:r>
    </w:p>
    <w:p>
      <w:pPr>
        <w:pStyle w:val="ListBullet"/>
      </w:pPr>
      <w:r>
        <w:t>Do not assume every realtime provider behaves exactly like Pusher.</w:t>
      </w:r>
    </w:p>
    <w:p>
      <w:pPr>
        <w:pStyle w:val="ListBullet"/>
      </w:pPr>
      <w:r>
        <w:t>Do not assume every object store is identical to Amazon S3.</w:t>
      </w:r>
    </w:p>
    <w:p>
      <w:pPr>
        <w:pStyle w:val="ListBullet"/>
      </w:pPr>
      <w:r>
        <w:t>Do not assume every CCTV vendor exposes RTSP/RTSPS or the same cloud API.</w:t>
      </w:r>
    </w:p>
    <w:p>
      <w:pPr>
        <w:pStyle w:val="ListBullet"/>
      </w:pPr>
      <w:r>
        <w:t>Do not assume every AI provider has identical models, tool calling, limits or error behavior.</w:t>
      </w:r>
    </w:p>
    <w:p>
      <w:pPr>
        <w:pStyle w:val="Heading1"/>
      </w:pPr>
      <w:r>
        <w:t>6. Provider-Agnostic Architecture</w:t>
      </w:r>
    </w:p>
    <w:p>
      <w:pPr>
        <w:pStyle w:val="Heading2"/>
      </w:pPr>
      <w:r>
        <w:t>6.1 Telephony</w:t>
      </w:r>
    </w:p>
    <w:p>
      <w:pPr>
        <w:ind w:left="432"/>
      </w:pPr>
      <w:r>
        <w:rPr>
          <w:rFonts w:ascii="Consolas" w:hAnsi="Consolas"/>
          <w:sz w:val="18"/>
        </w:rPr>
        <w:t>CRM Calling</w:t>
        <w:br/>
        <w:t xml:space="preserve">     ↓</w:t>
        <w:br/>
        <w:t>TelephonyProvider contract</w:t>
        <w:br/>
        <w:t xml:space="preserve">     ├── Twilio adapter</w:t>
        <w:br/>
        <w:t xml:space="preserve">     ├── Other provider adapter</w:t>
        <w:br/>
        <w:t xml:space="preserve">     └── Future provider adapter</w:t>
      </w:r>
    </w:p>
    <w:p>
      <w:r>
        <w:t>The CRM owns CallSession, authorization, participants, lifecycle, audit and business meaning. The adapter owns provider-specific authentication, API requests, provider identifiers, webhooks and capabilities.</w:t>
      </w:r>
    </w:p>
    <w:p>
      <w:pPr>
        <w:pStyle w:val="Heading2"/>
      </w:pPr>
      <w:r>
        <w:t>6.2 Email/Messaging</w:t>
      </w:r>
    </w:p>
    <w:p>
      <w:pPr>
        <w:ind w:left="432"/>
      </w:pPr>
      <w:r>
        <w:rPr>
          <w:rFonts w:ascii="Consolas" w:hAnsi="Consolas"/>
          <w:sz w:val="18"/>
        </w:rPr>
        <w:t>CRM communication</w:t>
        <w:br/>
        <w:t xml:space="preserve">       ↓</w:t>
        <w:br/>
        <w:t>Messaging / Email provider contract</w:t>
        <w:br/>
        <w:t xml:space="preserve">       ├── Resend</w:t>
        <w:br/>
        <w:t xml:space="preserve">       └── Future supported providers</w:t>
      </w:r>
    </w:p>
    <w:p>
      <w:r>
        <w:t>The core normalizes provider delivery states into application semantics while provider-specific details remain at the boundary.</w:t>
      </w:r>
    </w:p>
    <w:p>
      <w:pPr>
        <w:pStyle w:val="Heading2"/>
      </w:pPr>
      <w:r>
        <w:t>6.3 Storage</w:t>
      </w:r>
    </w:p>
    <w:p>
      <w:pPr>
        <w:ind w:left="432"/>
      </w:pPr>
      <w:r>
        <w:rPr>
          <w:rFonts w:ascii="Consolas" w:hAnsi="Consolas"/>
          <w:sz w:val="18"/>
        </w:rPr>
        <w:t>StorageProvider</w:t>
        <w:br/>
        <w:t xml:space="preserve">      ├── S3</w:t>
        <w:br/>
        <w:t xml:space="preserve">      ├── S3-compatible endpoint</w:t>
        <w:br/>
        <w:t xml:space="preserve">      ├── R2</w:t>
        <w:br/>
        <w:t xml:space="preserve">      └── MinIO / future adapter</w:t>
      </w:r>
    </w:p>
    <w:p>
      <w:r>
        <w:t>The application owns authorization, object identity, tenant-safe key construction and lifecycle policy; the adapter owns provider-specific storage operations.</w:t>
      </w:r>
    </w:p>
    <w:p>
      <w:pPr>
        <w:pStyle w:val="Heading2"/>
      </w:pPr>
      <w:r>
        <w:t>6.4 Realtime</w:t>
      </w:r>
    </w:p>
    <w:p>
      <w:pPr>
        <w:ind w:left="432"/>
      </w:pPr>
      <w:r>
        <w:rPr>
          <w:rFonts w:ascii="Consolas" w:hAnsi="Consolas"/>
          <w:sz w:val="18"/>
        </w:rPr>
        <w:t>CallSession / notifications / presence</w:t>
        <w:br/>
        <w:t xml:space="preserve">                 ↓</w:t>
        <w:br/>
        <w:t>RealtimeAdapter</w:t>
        <w:br/>
        <w:t xml:space="preserve">                 ├── Pusher</w:t>
        <w:br/>
        <w:t xml:space="preserve">                 └── Future realtime implementation</w:t>
      </w:r>
    </w:p>
    <w:p>
      <w:r>
        <w:t>Pusher is a transport implementation, not the ultimate authorization boundary. Database state and server-side authorization remain authoritative.</w:t>
      </w:r>
    </w:p>
    <w:p>
      <w:pPr>
        <w:pStyle w:val="Heading2"/>
      </w:pPr>
      <w:r>
        <w:t>6.5 AI</w:t>
      </w:r>
    </w:p>
    <w:p>
      <w:pPr>
        <w:ind w:left="432"/>
      </w:pPr>
      <w:r>
        <w:rPr>
          <w:rFonts w:ascii="Consolas" w:hAnsi="Consolas"/>
          <w:sz w:val="18"/>
        </w:rPr>
        <w:t>AI Assistant / Security Intelligence</w:t>
        <w:br/>
        <w:t xml:space="preserve">              ↓</w:t>
        <w:br/>
        <w:t>AI Provider abstraction</w:t>
        <w:br/>
        <w:t xml:space="preserve">       ├── Gemini</w:t>
        <w:br/>
        <w:t xml:space="preserve">       ├── OpenAI</w:t>
        <w:br/>
        <w:t xml:space="preserve">       └── Anthropic / future provider</w:t>
      </w:r>
    </w:p>
    <w:p>
      <w:r>
        <w:t>AI providers generate or process information; they never become the authorization layer. Tenant scope, permissions, tools and high-impact approvals remain server-side.</w:t>
      </w:r>
    </w:p>
    <w:p>
      <w:pPr>
        <w:pStyle w:val="Heading2"/>
      </w:pPr>
      <w:r>
        <w:t>6.6 CCTV</w:t>
      </w:r>
    </w:p>
    <w:p>
      <w:pPr>
        <w:ind w:left="432"/>
      </w:pPr>
      <w:r>
        <w:rPr>
          <w:rFonts w:ascii="Consolas" w:hAnsi="Consolas"/>
          <w:sz w:val="18"/>
        </w:rPr>
        <w:t>CCTV application</w:t>
        <w:br/>
        <w:t xml:space="preserve">      ↓</w:t>
        <w:br/>
        <w:t>camera / stream / storage abstractions</w:t>
        <w:br/>
        <w:t xml:space="preserve">      ├── RTSP / RTSPS</w:t>
        <w:br/>
        <w:t xml:space="preserve">      ├── MediaMTX / WHEP</w:t>
        <w:br/>
        <w:t xml:space="preserve">      └── S3-compatible recording storage</w:t>
      </w:r>
    </w:p>
    <w:p>
      <w:r>
        <w:t>CCTV compatibility is capability-driven. A vendor that does not expose a required protocol needs an adapter or another supported integration path; credentials alone cannot translate incompatible protocols.</w:t>
      </w:r>
    </w:p>
    <w:p>
      <w:pPr>
        <w:pStyle w:val="Heading1"/>
      </w:pPr>
      <w:r>
        <w:t>7. Credential-Ready vs Universal</w:t>
      </w:r>
    </w:p>
    <w:p>
      <w:r>
        <w:t>The platform should be credential-ready and configuration-ready for every supported integration. It must not claim universal compatibility with unknown vendors. Credentials authenticate an integration; they do not translate incompatible APIs, protocols or missing capabilities.</w:t>
      </w:r>
    </w:p>
    <w:tbl>
      <w:tblPr>
        <w:tblW w:type="auto" w:w="0"/>
        <w:tblLook w:firstColumn="1" w:firstRow="1" w:lastColumn="0" w:lastRow="0" w:noHBand="0" w:noVBand="1" w:val="04A0"/>
      </w:tblPr>
      <w:tblGrid>
        <w:gridCol w:w="9936"/>
      </w:tblGrid>
      <w:tr>
        <w:tc>
          <w:tcPr>
            <w:tcW w:type="dxa" w:w="9936"/>
            <w:shd w:fill="F2F4F7"/>
          </w:tcPr>
          <w:p>
            <w:r>
              <w:rPr>
                <w:b/>
              </w:rPr>
              <w:t>Operational standard</w:t>
              <w:br/>
            </w:r>
            <w:r>
              <w:t>Supported provider + correct credentials/configuration + required capabilities + health checks + integration certification = operational client deployment.</w:t>
            </w:r>
          </w:p>
        </w:tc>
      </w:tr>
    </w:tbl>
    <w:p/>
    <w:p>
      <w:pPr>
        <w:pStyle w:val="Heading1"/>
      </w:pPr>
      <w:r>
        <w:t>8. Provider-Agnostic Integration Certification Gate</w:t>
      </w:r>
    </w:p>
    <w:p>
      <w:pPr>
        <w:pStyle w:val="ListNumber"/>
      </w:pPr>
      <w:r>
        <w:t>Contract — a stable internal interface defines what the CRM needs.</w:t>
      </w:r>
    </w:p>
    <w:p>
      <w:pPr>
        <w:pStyle w:val="ListNumber"/>
      </w:pPr>
      <w:r>
        <w:t>Adapter — provider-specific behavior is isolated behind that interface.</w:t>
      </w:r>
    </w:p>
    <w:p>
      <w:pPr>
        <w:pStyle w:val="ListNumber"/>
      </w:pPr>
      <w:r>
        <w:t>Configuration schema — required variables, endpoints, IDs and non-secret settings are explicit.</w:t>
      </w:r>
    </w:p>
    <w:p>
      <w:pPr>
        <w:pStyle w:val="ListNumber"/>
      </w:pPr>
      <w:r>
        <w:t>Credential handling — secrets are injected through deployment configuration and never placed in source code or chat.</w:t>
      </w:r>
    </w:p>
    <w:p>
      <w:pPr>
        <w:pStyle w:val="ListNumber"/>
      </w:pPr>
      <w:r>
        <w:t>Health check — the deployment can determine whether the provider is reachable and correctly configured.</w:t>
      </w:r>
    </w:p>
    <w:p>
      <w:pPr>
        <w:pStyle w:val="ListNumber"/>
      </w:pPr>
      <w:r>
        <w:t>Capability detection — unsupported features are identified explicitly rather than silently assumed.</w:t>
      </w:r>
    </w:p>
    <w:p>
      <w:pPr>
        <w:pStyle w:val="ListNumber"/>
      </w:pPr>
      <w:r>
        <w:t>Failure semantics — timeout, authentication, rate-limit, permanent-error and unavailable-provider behavior is defined.</w:t>
      </w:r>
    </w:p>
    <w:p>
      <w:pPr>
        <w:pStyle w:val="ListNumber"/>
      </w:pPr>
      <w:r>
        <w:t>Idempotency strategy — documented provider idempotency is used where supported; unsupported idempotency is explicitly classified.</w:t>
      </w:r>
    </w:p>
    <w:p>
      <w:pPr>
        <w:pStyle w:val="ListNumber"/>
      </w:pPr>
      <w:r>
        <w:t>Security boundary — tenant, authorization and object-level access remain under CRM control.</w:t>
      </w:r>
    </w:p>
    <w:p>
      <w:pPr>
        <w:pStyle w:val="ListNumber"/>
      </w:pPr>
      <w:r>
        <w:t>Sandbox E2E — legitimate non-Production infrastructure is used to verify the real integration.</w:t>
      </w:r>
    </w:p>
    <w:p>
      <w:pPr>
        <w:pStyle w:val="ListNumber"/>
      </w:pPr>
      <w:r>
        <w:t>Production certification — final deployment-specific smoke, security and operational evidence proves readiness.</w:t>
      </w:r>
    </w:p>
    <w:p>
      <w:pPr>
        <w:pStyle w:val="Heading1"/>
      </w:pPr>
      <w:r>
        <w:t>9. Existing Work That Demonstrates the Goal</w:t>
      </w:r>
    </w:p>
    <w:p>
      <w:r>
        <w:rPr>
          <w:b/>
        </w:rPr>
        <w:t xml:space="preserve">Communication: </w:t>
      </w:r>
      <w:r>
        <w:t>CRM → EventOutbox → Inngest → ProviderFactory → provider adapter. The core workflow is separated from the external provider.</w:t>
      </w:r>
    </w:p>
    <w:p>
      <w:r>
        <w:rPr>
          <w:b/>
        </w:rPr>
        <w:t xml:space="preserve">Realtime/internal calling: </w:t>
      </w:r>
      <w:r>
        <w:t>CallSession owns the business lifecycle; RealtimeAdapter handles transport; Pusher is not treated as the ultimate authorization boundary.</w:t>
      </w:r>
    </w:p>
    <w:p>
      <w:r>
        <w:rPr>
          <w:b/>
        </w:rPr>
        <w:t xml:space="preserve">CCTV storage: </w:t>
      </w:r>
      <w:r>
        <w:t>Recording authorization and storage identity remain application concerns while S3-compatible storage is behind a provider abstraction.</w:t>
      </w:r>
    </w:p>
    <w:p>
      <w:r>
        <w:rPr>
          <w:b/>
        </w:rPr>
        <w:t xml:space="preserve">AI: </w:t>
      </w:r>
      <w:r>
        <w:t>Assistant authorization, ContextBuilder and ToolRegistry remain application-side while Gemini is an external provider implementation.</w:t>
      </w:r>
    </w:p>
    <w:p>
      <w:pPr>
        <w:pStyle w:val="Heading1"/>
      </w:pPr>
      <w:r>
        <w:t>10. New Client Deployment Workflow</w:t>
      </w:r>
    </w:p>
    <w:p>
      <w:pPr>
        <w:pStyle w:val="ListNumber"/>
      </w:pPr>
      <w:r>
        <w:t>Create the isolated client deployment/environment.</w:t>
      </w:r>
    </w:p>
    <w:p>
      <w:pPr>
        <w:pStyle w:val="ListNumber"/>
      </w:pPr>
      <w:r>
        <w:t>Provision the client's database and required application infrastructure.</w:t>
      </w:r>
    </w:p>
    <w:p>
      <w:pPr>
        <w:pStyle w:val="ListNumber"/>
      </w:pPr>
      <w:r>
        <w:t>Configure the client's external provider credentials and endpoints.</w:t>
      </w:r>
    </w:p>
    <w:p>
      <w:pPr>
        <w:pStyle w:val="ListNumber"/>
      </w:pPr>
      <w:r>
        <w:t>Run configuration validation and provider health checks.</w:t>
      </w:r>
    </w:p>
    <w:p>
      <w:pPr>
        <w:pStyle w:val="ListNumber"/>
      </w:pPr>
      <w:r>
        <w:t>Run provider capability checks.</w:t>
      </w:r>
    </w:p>
    <w:p>
      <w:pPr>
        <w:pStyle w:val="ListNumber"/>
      </w:pPr>
      <w:r>
        <w:t>Run non-destructive integration certification.</w:t>
      </w:r>
    </w:p>
    <w:p>
      <w:pPr>
        <w:pStyle w:val="ListNumber"/>
      </w:pPr>
      <w:r>
        <w:t>Run final smoke/security checks.</w:t>
      </w:r>
    </w:p>
    <w:p>
      <w:pPr>
        <w:pStyle w:val="ListNumber"/>
      </w:pPr>
      <w:r>
        <w:t>Record evidence and mark the deployment READY.</w:t>
      </w:r>
    </w:p>
    <w:p>
      <w:r>
        <w:t>The unacceptable outcome is discovering during client onboarding that a vendor requires rewriting core business logic, tenant isolation, authorization, workflow architecture or the fundamental communication/CCTV/AI architecture.</w:t>
      </w:r>
    </w:p>
    <w:p>
      <w:pPr>
        <w:pStyle w:val="Heading1"/>
      </w:pPr>
      <w:r>
        <w:t>11. Required Failure Semantics</w:t>
      </w:r>
    </w:p>
    <w:p>
      <w:pPr>
        <w:pStyle w:val="ListBullet"/>
      </w:pPr>
      <w:r>
        <w:t>Credentials missing or invalid.</w:t>
      </w:r>
    </w:p>
    <w:p>
      <w:pPr>
        <w:pStyle w:val="ListBullet"/>
      </w:pPr>
      <w:r>
        <w:t>Provider endpoint unreachable.</w:t>
      </w:r>
    </w:p>
    <w:p>
      <w:pPr>
        <w:pStyle w:val="ListBullet"/>
      </w:pPr>
      <w:r>
        <w:t>Provider timeout.</w:t>
      </w:r>
    </w:p>
    <w:p>
      <w:pPr>
        <w:pStyle w:val="ListBullet"/>
      </w:pPr>
      <w:r>
        <w:t>Provider rate limit.</w:t>
      </w:r>
    </w:p>
    <w:p>
      <w:pPr>
        <w:pStyle w:val="ListBullet"/>
      </w:pPr>
      <w:r>
        <w:t>Permanent provider validation error.</w:t>
      </w:r>
    </w:p>
    <w:p>
      <w:pPr>
        <w:pStyle w:val="ListBullet"/>
      </w:pPr>
      <w:r>
        <w:t>Malformed or unauthenticated webhook.</w:t>
      </w:r>
    </w:p>
    <w:p>
      <w:pPr>
        <w:pStyle w:val="ListBullet"/>
      </w:pPr>
      <w:r>
        <w:t>Duplicate webhook.</w:t>
      </w:r>
    </w:p>
    <w:p>
      <w:pPr>
        <w:pStyle w:val="ListBullet"/>
      </w:pPr>
      <w:r>
        <w:t>Out-of-order webhook.</w:t>
      </w:r>
    </w:p>
    <w:p>
      <w:pPr>
        <w:pStyle w:val="ListBullet"/>
      </w:pPr>
      <w:r>
        <w:t>Provider lacks required idempotency support.</w:t>
      </w:r>
    </w:p>
    <w:p>
      <w:pPr>
        <w:pStyle w:val="ListBullet"/>
      </w:pPr>
      <w:r>
        <w:t>Provider lacks a required capability.</w:t>
      </w:r>
    </w:p>
    <w:p>
      <w:pPr>
        <w:pStyle w:val="ListBullet"/>
      </w:pPr>
      <w:r>
        <w:t>Temporary provider outage.</w:t>
      </w:r>
    </w:p>
    <w:p>
      <w:r>
        <w:t>Every failure must be explicit and observable. The platform must never fabricate successful calls, emails, recordings, AI analysis, detections or realtime connections.</w:t>
      </w:r>
    </w:p>
    <w:p>
      <w:pPr>
        <w:pStyle w:val="Heading1"/>
      </w:pPr>
      <w:r>
        <w:t>12. Idempotency Must Be Honest</w:t>
      </w:r>
    </w:p>
    <w:p>
      <w:r>
        <w:t>Provider independence does not mean pretending all providers support exactly-once delivery. Application-level job identity and provider-level idempotency are different concepts.</w:t>
      </w:r>
    </w:p>
    <w:p>
      <w:r>
        <w:t>When a provider documents an idempotency mechanism, use it correctly. When a provider or SDK does not support one, document the limitation and use the safest supported recovery behavior. Bounded retries reduce operational risk but do not magically make a non-idempotent provider exactly-once.</w:t>
      </w:r>
    </w:p>
    <w:tbl>
      <w:tblPr>
        <w:tblW w:type="auto" w:w="0"/>
        <w:tblLook w:firstColumn="1" w:firstRow="1" w:lastColumn="0" w:lastRow="0" w:noHBand="0" w:noVBand="1" w:val="04A0"/>
      </w:tblPr>
      <w:tblGrid>
        <w:gridCol w:w="9936"/>
      </w:tblGrid>
      <w:tr>
        <w:tc>
          <w:tcPr>
            <w:tcW w:type="dxa" w:w="9936"/>
            <w:shd w:fill="F2F4F7"/>
          </w:tcPr>
          <w:p>
            <w:r>
              <w:rPr>
                <w:b/>
              </w:rPr>
              <w:t>Critical principle</w:t>
              <w:br/>
            </w:r>
            <w:r>
              <w:t>Never claim an integration is idempotent merely because an internal idempotency key exists. The external provider must actually honor the mechanism, or the duplicate-delivery risk must remain explicit.</w:t>
            </w:r>
          </w:p>
        </w:tc>
      </w:tr>
    </w:tbl>
    <w:p/>
    <w:p>
      <w:pPr>
        <w:pStyle w:val="Heading1"/>
      </w:pPr>
      <w:r>
        <w:t>13. Evidence Levels</w:t>
      </w:r>
    </w:p>
    <w:p>
      <w:r>
        <w:rPr>
          <w:b/>
        </w:rPr>
        <w:t xml:space="preserve">CODE IMPLEMENTED — </w:t>
      </w:r>
      <w:r>
        <w:t>The required application logic exists.</w:t>
      </w:r>
    </w:p>
    <w:p>
      <w:r>
        <w:rPr>
          <w:b/>
        </w:rPr>
        <w:t xml:space="preserve">AUTOMATED TEST VERIFIED — </w:t>
      </w:r>
      <w:r>
        <w:t>Tests prove behavior in the project's test infrastructure.</w:t>
      </w:r>
    </w:p>
    <w:p>
      <w:r>
        <w:rPr>
          <w:b/>
        </w:rPr>
        <w:t xml:space="preserve">REAL EXTERNAL E2E VERIFIED — </w:t>
      </w:r>
      <w:r>
        <w:t>Legitimate non-Production infrastructure was exercised end-to-end.</w:t>
      </w:r>
    </w:p>
    <w:p>
      <w:r>
        <w:rPr>
          <w:b/>
        </w:rPr>
        <w:t xml:space="preserve">PRODUCTION CERTIFIED — </w:t>
      </w:r>
      <w:r>
        <w:t>The deployment passed final production-safe operational, security and integration certification.</w:t>
      </w:r>
    </w:p>
    <w:p>
      <w:r>
        <w:t>These levels are not interchangeable. If real infrastructure is unavailable, the correct status is BLOCKED, not a simulated E2E pass.</w:t>
      </w:r>
    </w:p>
    <w:p>
      <w:pPr>
        <w:pStyle w:val="Heading1"/>
      </w:pPr>
      <w:r>
        <w:t>14. Why ~67% Product Completion Is Consistent</w:t>
      </w:r>
    </w:p>
    <w:p>
      <w:r>
        <w:t>The project already contains a substantial engineering foundation and many mature capabilities. The remaining gap combines genuine product development with external certification. Production certification is lower because the project has deliberately refused to claim evidence it does not possess.</w:t>
      </w:r>
    </w:p>
    <w:p>
      <w:r>
        <w:t>Communication has substantial implementation and automated security verification, while real Resend/Twilio sandbox certification is blocked without legitimate non-Production credentials. Realtime/internal calling has substantial CallSession, Pusher and WebRTC implementation, while real two-browser certification is blocked without isolated realtime infrastructure. CCTV has substantial security and operational implementation, while real MediaMTX, RTSP and storage E2E remains infrastructure-dependent.</w:t>
      </w:r>
    </w:p>
    <w:p>
      <w:pPr>
        <w:pStyle w:val="Heading1"/>
      </w:pPr>
      <w:r>
        <w:t>15. Genuine Product Work Still Remaining</w:t>
      </w:r>
    </w:p>
    <w:p>
      <w:pPr>
        <w:pStyle w:val="ListBullet"/>
      </w:pPr>
      <w:r>
        <w:t>AI assistant and security intelligence completion.</w:t>
      </w:r>
    </w:p>
    <w:p>
      <w:pPr>
        <w:pStyle w:val="ListBullet"/>
      </w:pPr>
      <w:r>
        <w:t>Real CCTV AI inference where required by product scope.</w:t>
      </w:r>
    </w:p>
    <w:p>
      <w:pPr>
        <w:pStyle w:val="ListBullet"/>
      </w:pPr>
      <w:r>
        <w:t>Remaining communication functionality and UX where incomplete.</w:t>
      </w:r>
    </w:p>
    <w:p>
      <w:pPr>
        <w:pStyle w:val="ListBullet"/>
      </w:pPr>
      <w:r>
        <w:t>Remaining revenue, quotations and approval capabilities.</w:t>
      </w:r>
    </w:p>
    <w:p>
      <w:pPr>
        <w:pStyle w:val="ListBullet"/>
      </w:pPr>
      <w:r>
        <w:t>Notifications and workflow/background-processing completion.</w:t>
      </w:r>
    </w:p>
    <w:p>
      <w:pPr>
        <w:pStyle w:val="ListBullet"/>
      </w:pPr>
      <w:r>
        <w:t>Enterprise security hardening.</w:t>
      </w:r>
    </w:p>
    <w:p>
      <w:pPr>
        <w:pStyle w:val="ListBullet"/>
      </w:pPr>
      <w:r>
        <w:t>Observability and operational tooling.</w:t>
      </w:r>
    </w:p>
    <w:p>
      <w:pPr>
        <w:pStyle w:val="ListBullet"/>
      </w:pPr>
      <w:r>
        <w:t>Disaster recovery operational certification.</w:t>
      </w:r>
    </w:p>
    <w:p>
      <w:pPr>
        <w:pStyle w:val="ListBullet"/>
      </w:pPr>
      <w:r>
        <w:t>Concurrency and scale testing.</w:t>
      </w:r>
    </w:p>
    <w:p>
      <w:pPr>
        <w:pStyle w:val="ListBullet"/>
      </w:pPr>
      <w:r>
        <w:t>Repeatable customer provisioning.</w:t>
      </w:r>
    </w:p>
    <w:p>
      <w:pPr>
        <w:pStyle w:val="ListBullet"/>
      </w:pPr>
      <w:r>
        <w:t>Final production certification.</w:t>
      </w:r>
    </w:p>
    <w:p>
      <w:pPr>
        <w:pStyle w:val="Heading1"/>
      </w:pPr>
      <w:r>
        <w:t>16. What Must Not Be Rebuilt Repeatedly</w:t>
      </w:r>
    </w:p>
    <w:p>
      <w:pPr>
        <w:pStyle w:val="ListBullet"/>
      </w:pPr>
      <w:r>
        <w:t>Tenant isolation architecture.</w:t>
      </w:r>
    </w:p>
    <w:p>
      <w:pPr>
        <w:pStyle w:val="ListBullet"/>
      </w:pPr>
      <w:r>
        <w:t>Core CRM domain logic.</w:t>
      </w:r>
    </w:p>
    <w:p>
      <w:pPr>
        <w:pStyle w:val="ListBullet"/>
      </w:pPr>
      <w:r>
        <w:t>Authorization/RBAC model.</w:t>
      </w:r>
    </w:p>
    <w:p>
      <w:pPr>
        <w:pStyle w:val="ListBullet"/>
      </w:pPr>
      <w:r>
        <w:t>CallSession architecture.</w:t>
      </w:r>
    </w:p>
    <w:p>
      <w:pPr>
        <w:pStyle w:val="ListBullet"/>
      </w:pPr>
      <w:r>
        <w:t>CCTV security foundations.</w:t>
      </w:r>
    </w:p>
    <w:p>
      <w:pPr>
        <w:pStyle w:val="ListBullet"/>
      </w:pPr>
      <w:r>
        <w:t>Provider abstraction layers that pass audit.</w:t>
      </w:r>
    </w:p>
    <w:p>
      <w:pPr>
        <w:pStyle w:val="ListBullet"/>
      </w:pPr>
      <w:r>
        <w:t>Correct EventOutbox architecture and semantics.</w:t>
      </w:r>
    </w:p>
    <w:p>
      <w:pPr>
        <w:pStyle w:val="ListBullet"/>
      </w:pPr>
      <w:r>
        <w:t>Security testing foundations.</w:t>
      </w:r>
    </w:p>
    <w:p>
      <w:pPr>
        <w:pStyle w:val="Heading1"/>
      </w:pPr>
      <w:r>
        <w:t>17. Definition of a Successful Final Product</w:t>
      </w:r>
    </w:p>
    <w:p>
      <w:r>
        <w:t>The final product is successful when a new isolated client deployment can be configured with that client's supported infrastructure and credentials, pass automated and real integration certification, and operate without rewriting the CRM's core architecture.</w:t>
      </w:r>
    </w:p>
    <w:p>
      <w:pPr>
        <w:ind w:left="432"/>
      </w:pPr>
      <w:r>
        <w:rPr>
          <w:rFonts w:ascii="Consolas" w:hAnsi="Consolas"/>
          <w:sz w:val="18"/>
        </w:rPr>
        <w:t>CORE PRODUCT</w:t>
        <w:br/>
        <w:t xml:space="preserve">  ├── CRM</w:t>
        <w:br/>
        <w:t xml:space="preserve">  ├── Security / tenant isolation</w:t>
        <w:br/>
        <w:t xml:space="preserve">  ├── Authorization / RBAC</w:t>
        <w:br/>
        <w:t xml:space="preserve">  ├── Workflows / workers</w:t>
        <w:br/>
        <w:t xml:space="preserve">  ├── Reporting</w:t>
        <w:br/>
        <w:t xml:space="preserve">  └── Domain logic</w:t>
        <w:br/>
        <w:t xml:space="preserve">          │</w:t>
        <w:br/>
        <w:t xml:space="preserve">          ▼</w:t>
        <w:br/>
        <w:t>PROVIDER / INFRASTRUCTURE BOUNDARIES</w:t>
        <w:br/>
        <w:t xml:space="preserve">  ├── Email / Messaging</w:t>
        <w:br/>
        <w:t xml:space="preserve">  ├── Telephony</w:t>
        <w:br/>
        <w:t xml:space="preserve">  ├── Realtime</w:t>
        <w:br/>
        <w:t xml:space="preserve">  ├── AI</w:t>
        <w:br/>
        <w:t xml:space="preserve">  ├── Storage</w:t>
        <w:br/>
        <w:t xml:space="preserve">  └── CCTV / streaming</w:t>
        <w:br/>
        <w:t xml:space="preserve">          │</w:t>
        <w:br/>
        <w:t xml:space="preserve">          ▼</w:t>
        <w:br/>
        <w:t>CLIENT-SPECIFIC INFRASTRUCTURE</w:t>
      </w:r>
    </w:p>
    <w:p>
      <w:pPr>
        <w:pStyle w:val="Heading1"/>
      </w:pPr>
      <w:r>
        <w:t>18. Final Acceptance Criteria</w:t>
      </w:r>
    </w:p>
    <w:p>
      <w:pPr>
        <w:pStyle w:val="ListBullet"/>
      </w:pPr>
      <w:r>
        <w:t>Core business logic is independent of individual external vendors.</w:t>
      </w:r>
    </w:p>
    <w:p>
      <w:pPr>
        <w:pStyle w:val="ListBullet"/>
      </w:pPr>
      <w:r>
        <w:t>Every supported external dependency has an explicit provider contract or adapter boundary.</w:t>
      </w:r>
    </w:p>
    <w:p>
      <w:pPr>
        <w:pStyle w:val="ListBullet"/>
      </w:pPr>
      <w:r>
        <w:t>Client-specific credentials are configuration, not core-code changes.</w:t>
      </w:r>
    </w:p>
    <w:p>
      <w:pPr>
        <w:pStyle w:val="ListBullet"/>
      </w:pPr>
      <w:r>
        <w:t>Secrets are never exposed in chat, source code or logs.</w:t>
      </w:r>
    </w:p>
    <w:p>
      <w:pPr>
        <w:pStyle w:val="ListBullet"/>
      </w:pPr>
      <w:r>
        <w:t>Tenant isolation remains under application/database control.</w:t>
      </w:r>
    </w:p>
    <w:p>
      <w:pPr>
        <w:pStyle w:val="ListBullet"/>
      </w:pPr>
      <w:r>
        <w:t>Provider failures cannot bypass authorization or security controls.</w:t>
      </w:r>
    </w:p>
    <w:p>
      <w:pPr>
        <w:pStyle w:val="ListBullet"/>
      </w:pPr>
      <w:r>
        <w:t>Provider capabilities are explicit and unsupported features fail safely.</w:t>
      </w:r>
    </w:p>
    <w:p>
      <w:pPr>
        <w:pStyle w:val="ListBullet"/>
      </w:pPr>
      <w:r>
        <w:t>Retry and idempotency semantics are documented per integration.</w:t>
      </w:r>
    </w:p>
    <w:p>
      <w:pPr>
        <w:pStyle w:val="ListBullet"/>
      </w:pPr>
      <w:r>
        <w:t>Webhook authenticity is cryptographically verified where supported.</w:t>
      </w:r>
    </w:p>
    <w:p>
      <w:pPr>
        <w:pStyle w:val="ListBullet"/>
      </w:pPr>
      <w:r>
        <w:t>External identifiers are correlated through authoritative application records rather than untrusted tenant metadata.</w:t>
      </w:r>
    </w:p>
    <w:p>
      <w:pPr>
        <w:pStyle w:val="ListBullet"/>
      </w:pPr>
      <w:r>
        <w:t>Automated tests cover adversarial security, concurrency and failure conditions.</w:t>
      </w:r>
    </w:p>
    <w:p>
      <w:pPr>
        <w:pStyle w:val="ListBullet"/>
      </w:pPr>
      <w:r>
        <w:t>Real non-Production E2E is performed whenever legitimate infrastructure is available.</w:t>
      </w:r>
    </w:p>
    <w:p>
      <w:pPr>
        <w:pStyle w:val="ListBullet"/>
      </w:pPr>
      <w:r>
        <w:t>Missing infrastructure is recorded as BLOCKED rather than hidden by mocks.</w:t>
      </w:r>
    </w:p>
    <w:p>
      <w:pPr>
        <w:pStyle w:val="ListBullet"/>
      </w:pPr>
      <w:r>
        <w:t>Production certification occurs only after application and external-integration evidence exists.</w:t>
      </w:r>
    </w:p>
    <w:p>
      <w:pPr>
        <w:pStyle w:val="ListBullet"/>
      </w:pPr>
      <w:r>
        <w:t>A new supported client provider does not require rewriting the CRM core domain architecture.</w:t>
      </w:r>
    </w:p>
    <w:p>
      <w:pPr>
        <w:pStyle w:val="Heading1"/>
      </w:pPr>
      <w:r>
        <w:t>19. Final Strategic Principle</w:t>
      </w:r>
    </w:p>
    <w:tbl>
      <w:tblPr>
        <w:tblW w:type="auto" w:w="0"/>
        <w:tblLook w:firstColumn="1" w:firstRow="1" w:lastColumn="0" w:lastRow="0" w:noHBand="0" w:noVBand="1" w:val="04A0"/>
      </w:tblPr>
      <w:tblGrid>
        <w:gridCol w:w="9936"/>
      </w:tblGrid>
      <w:tr>
        <w:tc>
          <w:tcPr>
            <w:tcW w:type="dxa" w:w="9936"/>
            <w:shd w:fill="F2F4F7"/>
          </w:tcPr>
          <w:p>
            <w:r>
              <w:rPr>
                <w:b/>
              </w:rPr>
              <w:t>THE GOAL</w:t>
              <w:br/>
            </w:r>
            <w:r>
              <w:t>We are not merely building a CRM that happens to connect to today's vendors. We are building a strong product core with controlled integration boundaries. The product should remain stable while client-specific infrastructure changes. Credentials configure integrations; adapters translate provider-specific behavior; health checks and capability detection expose compatibility; security remains inside the platform; real E2E certification proves the deployment. This standard governs every remaining phase and the final release gate.</w:t>
            </w:r>
          </w:p>
        </w:tc>
      </w:tr>
    </w:tbl>
    <w:p/>
    <w:p>
      <w:pPr>
        <w:pStyle w:val="Heading1"/>
      </w:pPr>
      <w:r>
        <w:t>20. Permanent Engineering Questions</w:t>
      </w:r>
    </w:p>
    <w:p>
      <w:r>
        <w:t>Before accepting any future integration or feature, ask:</w:t>
      </w:r>
    </w:p>
    <w:p>
      <w:pPr>
        <w:pStyle w:val="ListBullet"/>
      </w:pPr>
      <w:r>
        <w:t>Does this put provider-specific behavior into the core domain?</w:t>
      </w:r>
    </w:p>
    <w:p>
      <w:pPr>
        <w:pStyle w:val="ListBullet"/>
      </w:pPr>
      <w:r>
        <w:t>Can another supported provider be plugged in without rewriting business logic?</w:t>
      </w:r>
    </w:p>
    <w:p>
      <w:pPr>
        <w:pStyle w:val="ListBullet"/>
      </w:pPr>
      <w:r>
        <w:t>What happens when credentials are missing?</w:t>
      </w:r>
    </w:p>
    <w:p>
      <w:pPr>
        <w:pStyle w:val="ListBullet"/>
      </w:pPr>
      <w:r>
        <w:t>What happens when the provider fails?</w:t>
      </w:r>
    </w:p>
    <w:p>
      <w:pPr>
        <w:pStyle w:val="ListBullet"/>
      </w:pPr>
      <w:r>
        <w:t>What is the provider's actual idempotency capability?</w:t>
      </w:r>
    </w:p>
    <w:p>
      <w:pPr>
        <w:pStyle w:val="ListBullet"/>
      </w:pPr>
      <w:r>
        <w:t>How is the tenant determined authoritatively?</w:t>
      </w:r>
    </w:p>
    <w:p>
      <w:pPr>
        <w:pStyle w:val="ListBullet"/>
      </w:pPr>
      <w:r>
        <w:t>Where is server-side authorization enforced?</w:t>
      </w:r>
    </w:p>
    <w:p>
      <w:pPr>
        <w:pStyle w:val="ListBullet"/>
      </w:pPr>
      <w:r>
        <w:t>What evidence proves this works with a real provider?</w:t>
      </w:r>
    </w:p>
    <w:p>
      <w:pPr>
        <w:pStyle w:val="ListBullet"/>
      </w:pPr>
      <w:r>
        <w:t>If real infrastructure is unavailable, is the limitation explicitly recorded?</w:t>
      </w:r>
    </w:p>
    <w:p>
      <w:pPr>
        <w:pStyle w:val="ListBullet"/>
      </w:pPr>
      <w:r>
        <w:t>Would a new client require core code changes or only supported adapter/configuration work?</w:t>
      </w:r>
    </w:p>
    <w:p>
      <w:pPr>
        <w:jc w:val="center"/>
      </w:pPr>
      <w:r>
        <w:rPr>
          <w:b/>
        </w:rPr>
        <w:t>END OF GOAL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