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CRM PROJECT</w:t>
      </w:r>
    </w:p>
    <w:p>
      <w:pPr>
        <w:jc w:val="center"/>
      </w:pPr>
      <w:r>
        <w:rPr>
          <w:b/>
          <w:sz w:val="50"/>
        </w:rPr>
        <w:t>PROJECT AND PROGRESS DETAILS</w:t>
        <w:br/>
        <w:t>TILL 12TH SEPTEMBER 2026</w:t>
      </w:r>
    </w:p>
    <w:p>
      <w:pPr>
        <w:jc w:val="center"/>
      </w:pPr>
      <w:r>
        <w:rPr>
          <w:i/>
        </w:rPr>
        <w:t>AI Security + Business CRM Platform</w:t>
        <w:br/>
        <w:t>Detailed Product, Architecture, Deployment, Provider &amp; Roadmap Record</w:t>
      </w:r>
    </w:p>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r/>
            <w:r>
              <w:rPr>
                <w:b/>
                <w:sz w:val="17"/>
              </w:rPr>
              <w:t>Document purpose</w:t>
            </w:r>
          </w:p>
        </w:tc>
        <w:tc>
          <w:tcPr>
            <w:tcW w:type="dxa" w:w="5472"/>
            <w:vAlign w:val="center"/>
            <w:shd w:fill="D9EAF7"/>
          </w:tcPr>
          <w:p>
            <w:r/>
            <w:r>
              <w:rPr>
                <w:b/>
                <w:sz w:val="17"/>
              </w:rPr>
              <w:t>Status</w:t>
            </w:r>
          </w:p>
        </w:tc>
      </w:tr>
      <w:tr>
        <w:tc>
          <w:tcPr>
            <w:tcW w:type="dxa" w:w="3312"/>
            <w:vAlign w:val="center"/>
          </w:tcPr>
          <w:p>
            <w:r/>
            <w:r>
              <w:rPr>
                <w:b w:val="0"/>
                <w:sz w:val="17"/>
              </w:rPr>
              <w:t>Single detailed reference for the project vision, architectural evolution, current implementation maturity, deployment model, provider strategy, missing-credential handling, remaining work and final definition of done.</w:t>
            </w:r>
          </w:p>
        </w:tc>
        <w:tc>
          <w:tcPr>
            <w:tcW w:type="dxa" w:w="5472"/>
            <w:vAlign w:val="center"/>
          </w:tcPr>
          <w:p>
            <w:r/>
            <w:r>
              <w:rPr>
                <w:b w:val="0"/>
                <w:sz w:val="17"/>
              </w:rPr>
              <w:t>Current planning / handover document</w:t>
            </w:r>
          </w:p>
        </w:tc>
      </w:tr>
      <w:tr>
        <w:tc>
          <w:tcPr>
            <w:tcW w:type="dxa" w:w="3312"/>
            <w:vAlign w:val="center"/>
          </w:tcPr>
          <w:p>
            <w:r/>
            <w:r>
              <w:rPr>
                <w:b w:val="0"/>
                <w:sz w:val="17"/>
              </w:rPr>
              <w:t>Date</w:t>
            </w:r>
          </w:p>
        </w:tc>
        <w:tc>
          <w:tcPr>
            <w:tcW w:type="dxa" w:w="5472"/>
            <w:vAlign w:val="center"/>
          </w:tcPr>
          <w:p>
            <w:r/>
            <w:r>
              <w:rPr>
                <w:b w:val="0"/>
                <w:sz w:val="17"/>
              </w:rPr>
              <w:t>12 September 2026</w:t>
            </w:r>
          </w:p>
        </w:tc>
      </w:tr>
      <w:tr>
        <w:tc>
          <w:tcPr>
            <w:tcW w:type="dxa" w:w="3312"/>
            <w:vAlign w:val="center"/>
          </w:tcPr>
          <w:p>
            <w:r/>
            <w:r>
              <w:rPr>
                <w:b w:val="0"/>
                <w:sz w:val="17"/>
              </w:rPr>
              <w:t>Repository</w:t>
            </w:r>
          </w:p>
        </w:tc>
        <w:tc>
          <w:tcPr>
            <w:tcW w:type="dxa" w:w="5472"/>
            <w:vAlign w:val="center"/>
          </w:tcPr>
          <w:p>
            <w:r/>
            <w:r>
              <w:rPr>
                <w:b w:val="0"/>
                <w:sz w:val="17"/>
              </w:rPr>
              <w:t>Arunesh2004/CRM-v01</w:t>
            </w:r>
          </w:p>
        </w:tc>
      </w:tr>
      <w:tr>
        <w:tc>
          <w:tcPr>
            <w:tcW w:type="dxa" w:w="3312"/>
            <w:vAlign w:val="center"/>
          </w:tcPr>
          <w:p>
            <w:r/>
            <w:r>
              <w:rPr>
                <w:b w:val="0"/>
                <w:sz w:val="17"/>
              </w:rPr>
              <w:t>Primary development deployment</w:t>
            </w:r>
          </w:p>
        </w:tc>
        <w:tc>
          <w:tcPr>
            <w:tcW w:type="dxa" w:w="5472"/>
            <w:vAlign w:val="center"/>
          </w:tcPr>
          <w:p>
            <w:r/>
            <w:r>
              <w:rPr>
                <w:b w:val="0"/>
                <w:sz w:val="17"/>
              </w:rPr>
              <w:t>Vercel — crm-v01</w:t>
            </w:r>
          </w:p>
        </w:tc>
      </w:tr>
      <w:tr>
        <w:tc>
          <w:tcPr>
            <w:tcW w:type="dxa" w:w="3312"/>
            <w:vAlign w:val="center"/>
          </w:tcPr>
          <w:p>
            <w:r/>
            <w:r>
              <w:rPr>
                <w:b w:val="0"/>
                <w:sz w:val="17"/>
              </w:rPr>
              <w:t>Architecture model</w:t>
            </w:r>
          </w:p>
        </w:tc>
        <w:tc>
          <w:tcPr>
            <w:tcW w:type="dxa" w:w="5472"/>
            <w:vAlign w:val="center"/>
          </w:tcPr>
          <w:p>
            <w:r/>
            <w:r>
              <w:rPr>
                <w:b w:val="0"/>
                <w:sz w:val="17"/>
              </w:rPr>
              <w:t>One codebase; separately provisioned deployment/environment per company</w:t>
            </w:r>
          </w:p>
        </w:tc>
      </w:tr>
    </w:tbl>
    <w:p/>
    <w:p>
      <w:pPr>
        <w:pStyle w:val="Heading1"/>
      </w:pPr>
      <w:r>
        <w:t>1. Executive Summary</w:t>
      </w:r>
    </w:p>
    <w:p>
      <w:pPr>
        <w:spacing w:after="100"/>
      </w:pPr>
      <w:r>
        <w:t>This document is the detailed continuation record for the AI Security + Business CRM project as of 12 September 2026. It is intentionally more than a progress report: it explains what the product is supposed to become, how the architecture evolved, what has actually been built, what has been verified, what remains, how development should proceed when production credentials are unavailable, and how the same codebase is expected to adapt to different client infrastructure.</w:t>
      </w:r>
    </w:p>
    <w:p>
      <w:pPr>
        <w:spacing w:after="100"/>
      </w:pPr>
      <w:r>
        <w:t>The project is not a simple CRM. The target platform combines business CRM, communication and telephony, CCTV/security operations, AI-assisted analysis, realtime notifications, workforce/field operations, reporting, enterprise controls, background workers, observability/disaster recovery and isolated company deployments. The original vision included a conventional multi-tenant SaaS subscription model, but that commercial model was later superseded.</w:t>
      </w:r>
    </w:p>
    <w:p>
      <w:pPr>
        <w:spacing w:after="100"/>
      </w:pPr>
      <w:r>
        <w:t>The current commercial/deployment decision is: ONE CODEBASE → separate deployment per company/customer. A deployment may have its own application hosting, database, authentication configuration, storage, communication providers, AI provider, realtime provider, MediaMTX/worker infrastructure and secrets. Platform-level subscription checkout/payment processing is therefore not a current development blocker. Revenue management inside the CRM—products, pricing, quotations, approvals and business revenue—remains a valid product capability.</w:t>
      </w:r>
    </w:p>
    <w:p>
      <w:pPr>
        <w:spacing w:after="100"/>
      </w:pPr>
      <w:r>
        <w:t>The most important current strategy change is provider portability. Development must not stop because a future client has not supplied every production API credential. Where the repository supports a provider interface, development should use an explicit Demo/Test Provider so the product remains demonstrable and workflows can be completed. When the client supplies real credentials, the provider configuration is swapped without redesigning the business layer. This must never become silent fake production behavior.</w:t>
      </w:r>
    </w:p>
    <w:p>
      <w:pPr>
        <w:pStyle w:val="Heading1"/>
      </w:pPr>
      <w:r>
        <w:t>2. Final Product Definition</w:t>
      </w:r>
    </w:p>
    <w:p>
      <w:pPr>
        <w:spacing w:after="100"/>
      </w:pPr>
      <w:r>
        <w:t>The final product should feel like an integrated operating platform rather than a collection of disconnected modules.</w:t>
      </w:r>
    </w:p>
    <w:tbl>
      <w:tblPr>
        <w:tblStyle w:val="TableGrid"/>
        <w:tblW w:type="auto" w:w="0"/>
        <w:jc w:val="center"/>
        <w:tblLook w:firstColumn="1" w:firstRow="1" w:lastColumn="0" w:lastRow="0" w:noHBand="0" w:noVBand="1" w:val="04A0"/>
      </w:tblPr>
      <w:tblGrid>
        <w:gridCol w:w="5040"/>
        <w:gridCol w:w="5040"/>
      </w:tblGrid>
      <w:tr>
        <w:tc>
          <w:tcPr>
            <w:tcW w:type="dxa" w:w="1944"/>
            <w:vAlign w:val="center"/>
            <w:shd w:fill="D9EAF7"/>
          </w:tcPr>
          <w:p>
            <w:r/>
            <w:r>
              <w:rPr>
                <w:b/>
                <w:sz w:val="17"/>
              </w:rPr>
              <w:t>Domain</w:t>
            </w:r>
          </w:p>
        </w:tc>
        <w:tc>
          <w:tcPr>
            <w:tcW w:type="dxa" w:w="6840"/>
            <w:vAlign w:val="center"/>
            <w:shd w:fill="D9EAF7"/>
          </w:tcPr>
          <w:p>
            <w:r/>
            <w:r>
              <w:rPr>
                <w:b/>
                <w:sz w:val="17"/>
              </w:rPr>
              <w:t>Final target capability</w:t>
            </w:r>
          </w:p>
        </w:tc>
      </w:tr>
      <w:tr>
        <w:tc>
          <w:tcPr>
            <w:tcW w:type="dxa" w:w="1944"/>
            <w:vAlign w:val="center"/>
          </w:tcPr>
          <w:p>
            <w:r/>
            <w:r>
              <w:rPr>
                <w:b w:val="0"/>
                <w:sz w:val="17"/>
              </w:rPr>
              <w:t>Business CRM</w:t>
            </w:r>
          </w:p>
        </w:tc>
        <w:tc>
          <w:tcPr>
            <w:tcW w:type="dxa" w:w="6840"/>
            <w:vAlign w:val="center"/>
          </w:tcPr>
          <w:p>
            <w:r/>
            <w:r>
              <w:rPr>
                <w:b w:val="0"/>
                <w:sz w:val="17"/>
              </w:rPr>
              <w:t>Customers, contacts, leads, qualification, deals, pipelines, stages, tasks, activities, timelines, tickets/incidents and operational workflows.</w:t>
            </w:r>
          </w:p>
        </w:tc>
      </w:tr>
      <w:tr>
        <w:tc>
          <w:tcPr>
            <w:tcW w:type="dxa" w:w="1944"/>
            <w:vAlign w:val="center"/>
          </w:tcPr>
          <w:p>
            <w:r/>
            <w:r>
              <w:rPr>
                <w:b w:val="0"/>
                <w:sz w:val="17"/>
              </w:rPr>
              <w:t>Communication</w:t>
            </w:r>
          </w:p>
        </w:tc>
        <w:tc>
          <w:tcPr>
            <w:tcW w:type="dxa" w:w="6840"/>
            <w:vAlign w:val="center"/>
          </w:tcPr>
          <w:p>
            <w:r/>
            <w:r>
              <w:rPr>
                <w:b w:val="0"/>
                <w:sz w:val="17"/>
              </w:rPr>
              <w:t>Internal employee calling/messaging, customer/contact calling, email, SMS/external messaging where configured, unified inbox, threads, communication history, attachments, presence, notifications and provider failure/retry handling.</w:t>
            </w:r>
          </w:p>
        </w:tc>
      </w:tr>
      <w:tr>
        <w:tc>
          <w:tcPr>
            <w:tcW w:type="dxa" w:w="1944"/>
            <w:vAlign w:val="center"/>
          </w:tcPr>
          <w:p>
            <w:r/>
            <w:r>
              <w:rPr>
                <w:b w:val="0"/>
                <w:sz w:val="17"/>
              </w:rPr>
              <w:t>Telephony</w:t>
            </w:r>
          </w:p>
        </w:tc>
        <w:tc>
          <w:tcPr>
            <w:tcW w:type="dxa" w:w="6840"/>
            <w:vAlign w:val="center"/>
          </w:tcPr>
          <w:p>
            <w:r/>
            <w:r>
              <w:rPr>
                <w:b w:val="0"/>
                <w:sz w:val="17"/>
              </w:rPr>
              <w:t>Calling workflows, numbers/provider abstraction, call records, recordings, inbound routing/webhooks, presence/analytics hooks, permissions and auditability.</w:t>
            </w:r>
          </w:p>
        </w:tc>
      </w:tr>
      <w:tr>
        <w:tc>
          <w:tcPr>
            <w:tcW w:type="dxa" w:w="1944"/>
            <w:vAlign w:val="center"/>
          </w:tcPr>
          <w:p>
            <w:r/>
            <w:r>
              <w:rPr>
                <w:b w:val="0"/>
                <w:sz w:val="17"/>
              </w:rPr>
              <w:t>Revenue &amp; quotations</w:t>
            </w:r>
          </w:p>
        </w:tc>
        <w:tc>
          <w:tcPr>
            <w:tcW w:type="dxa" w:w="6840"/>
            <w:vAlign w:val="center"/>
          </w:tcPr>
          <w:p>
            <w:r/>
            <w:r>
              <w:rPr>
                <w:b w:val="0"/>
                <w:sz w:val="17"/>
              </w:rPr>
              <w:t>Products, pricing, price books, discounts, quotation creation, versions, approval workflows, deal/customer integration and revenue controls.</w:t>
            </w:r>
          </w:p>
        </w:tc>
      </w:tr>
      <w:tr>
        <w:tc>
          <w:tcPr>
            <w:tcW w:type="dxa" w:w="1944"/>
            <w:vAlign w:val="center"/>
          </w:tcPr>
          <w:p>
            <w:r/>
            <w:r>
              <w:rPr>
                <w:b w:val="0"/>
                <w:sz w:val="17"/>
              </w:rPr>
              <w:t>CCTV &amp; security</w:t>
            </w:r>
          </w:p>
        </w:tc>
        <w:tc>
          <w:tcPr>
            <w:tcW w:type="dxa" w:w="6840"/>
            <w:vAlign w:val="center"/>
          </w:tcPr>
          <w:p>
            <w:r/>
            <w:r>
              <w:rPr>
                <w:b w:val="0"/>
                <w:sz w:val="17"/>
              </w:rPr>
              <w:t>Camera management, streams/live view, health, recordings, retention, alerts, incidents, search, operator workflows, secure downloads, audit trail and permissions.</w:t>
            </w:r>
          </w:p>
        </w:tc>
      </w:tr>
      <w:tr>
        <w:tc>
          <w:tcPr>
            <w:tcW w:type="dxa" w:w="1944"/>
            <w:vAlign w:val="center"/>
          </w:tcPr>
          <w:p>
            <w:r/>
            <w:r>
              <w:rPr>
                <w:b w:val="0"/>
                <w:sz w:val="17"/>
              </w:rPr>
              <w:t>AI</w:t>
            </w:r>
          </w:p>
        </w:tc>
        <w:tc>
          <w:tcPr>
            <w:tcW w:type="dxa" w:w="6840"/>
            <w:vAlign w:val="center"/>
          </w:tcPr>
          <w:p>
            <w:r/>
            <w:r>
              <w:rPr>
                <w:b w:val="0"/>
                <w:sz w:val="17"/>
              </w:rPr>
              <w:t>Controlled AI assistant, tenant-aware context, CRM/security summaries, report assistance, controlled function calling, approval-sensitive actions, audited tool execution and CCTV AI jobs.</w:t>
            </w:r>
          </w:p>
        </w:tc>
      </w:tr>
      <w:tr>
        <w:tc>
          <w:tcPr>
            <w:tcW w:type="dxa" w:w="1944"/>
            <w:vAlign w:val="center"/>
          </w:tcPr>
          <w:p>
            <w:r/>
            <w:r>
              <w:rPr>
                <w:b w:val="0"/>
                <w:sz w:val="17"/>
              </w:rPr>
              <w:t>Realtime</w:t>
            </w:r>
          </w:p>
        </w:tc>
        <w:tc>
          <w:tcPr>
            <w:tcW w:type="dxa" w:w="6840"/>
            <w:vAlign w:val="center"/>
          </w:tcPr>
          <w:p>
            <w:r/>
            <w:r>
              <w:rPr>
                <w:b w:val="0"/>
                <w:sz w:val="17"/>
              </w:rPr>
              <w:t>Managed realtime provider, tenant/channel authorization, permission-aware subscriptions, notifications, alerts and safe provider degradation.</w:t>
            </w:r>
          </w:p>
        </w:tc>
      </w:tr>
      <w:tr>
        <w:tc>
          <w:tcPr>
            <w:tcW w:type="dxa" w:w="1944"/>
            <w:vAlign w:val="center"/>
          </w:tcPr>
          <w:p>
            <w:r/>
            <w:r>
              <w:rPr>
                <w:b w:val="0"/>
                <w:sz w:val="17"/>
              </w:rPr>
              <w:t>Workforce</w:t>
            </w:r>
          </w:p>
        </w:tc>
        <w:tc>
          <w:tcPr>
            <w:tcW w:type="dxa" w:w="6840"/>
            <w:vAlign w:val="center"/>
          </w:tcPr>
          <w:p>
            <w:r/>
            <w:r>
              <w:rPr>
                <w:b w:val="0"/>
                <w:sz w:val="17"/>
              </w:rPr>
              <w:t>Company → department → department head → employees, invitations/onboarding, identity mapping, roles, permissions and field/security staff workflows.</w:t>
            </w:r>
          </w:p>
        </w:tc>
      </w:tr>
      <w:tr>
        <w:tc>
          <w:tcPr>
            <w:tcW w:type="dxa" w:w="1944"/>
            <w:vAlign w:val="center"/>
          </w:tcPr>
          <w:p>
            <w:r/>
            <w:r>
              <w:rPr>
                <w:b w:val="0"/>
                <w:sz w:val="17"/>
              </w:rPr>
              <w:t>Reporting</w:t>
            </w:r>
          </w:p>
        </w:tc>
        <w:tc>
          <w:tcPr>
            <w:tcW w:type="dxa" w:w="6840"/>
            <w:vAlign w:val="center"/>
          </w:tcPr>
          <w:p>
            <w:r/>
            <w:r>
              <w:rPr>
                <w:b w:val="0"/>
                <w:sz w:val="17"/>
              </w:rPr>
              <w:t>CRM, communication, security/CCTV and operational analytics, dashboards and export/reporting capabilities.</w:t>
            </w:r>
          </w:p>
        </w:tc>
      </w:tr>
      <w:tr>
        <w:tc>
          <w:tcPr>
            <w:tcW w:type="dxa" w:w="1944"/>
            <w:vAlign w:val="center"/>
          </w:tcPr>
          <w:p>
            <w:r/>
            <w:r>
              <w:rPr>
                <w:b w:val="0"/>
                <w:sz w:val="17"/>
              </w:rPr>
              <w:t>Operations</w:t>
            </w:r>
          </w:p>
        </w:tc>
        <w:tc>
          <w:tcPr>
            <w:tcW w:type="dxa" w:w="6840"/>
            <w:vAlign w:val="center"/>
          </w:tcPr>
          <w:p>
            <w:r/>
            <w:r>
              <w:rPr>
                <w:b w:val="0"/>
                <w:sz w:val="17"/>
              </w:rPr>
              <w:t>Background workers, queues/jobs, leases, fencing, idempotency, health, monitoring, logging, backup/recovery, RPO/RTO and operational runbooks.</w:t>
            </w:r>
          </w:p>
        </w:tc>
      </w:tr>
      <w:tr>
        <w:tc>
          <w:tcPr>
            <w:tcW w:type="dxa" w:w="1944"/>
            <w:vAlign w:val="center"/>
          </w:tcPr>
          <w:p>
            <w:r/>
            <w:r>
              <w:rPr>
                <w:b w:val="0"/>
                <w:sz w:val="17"/>
              </w:rPr>
              <w:t>Enterprise security</w:t>
            </w:r>
          </w:p>
        </w:tc>
        <w:tc>
          <w:tcPr>
            <w:tcW w:type="dxa" w:w="6840"/>
            <w:vAlign w:val="center"/>
          </w:tcPr>
          <w:p>
            <w:r/>
            <w:r>
              <w:rPr>
                <w:b w:val="0"/>
                <w:sz w:val="17"/>
              </w:rPr>
              <w:t>Tenant isolation, RLS, RBAC/ABAC boundaries, IDOR protection, webhook security, audit logs, rate limiting, secret handling and deployment isolation.</w:t>
            </w:r>
          </w:p>
        </w:tc>
      </w:tr>
      <w:tr>
        <w:tc>
          <w:tcPr>
            <w:tcW w:type="dxa" w:w="1944"/>
            <w:vAlign w:val="center"/>
          </w:tcPr>
          <w:p>
            <w:r/>
            <w:r>
              <w:rPr>
                <w:b w:val="0"/>
                <w:sz w:val="17"/>
              </w:rPr>
              <w:t>Deployment/provisioning</w:t>
            </w:r>
          </w:p>
        </w:tc>
        <w:tc>
          <w:tcPr>
            <w:tcW w:type="dxa" w:w="6840"/>
            <w:vAlign w:val="center"/>
          </w:tcPr>
          <w:p>
            <w:r/>
            <w:r>
              <w:rPr>
                <w:b w:val="0"/>
                <w:sz w:val="17"/>
              </w:rPr>
              <w:t>Repeatable per-company infrastructure provisioning, environment configuration, migrations, provider configuration, smoke/security testing and handover.</w:t>
            </w:r>
          </w:p>
        </w:tc>
      </w:tr>
    </w:tbl>
    <w:p/>
    <w:p>
      <w:pPr>
        <w:pStyle w:val="Heading1"/>
      </w:pPr>
      <w:r>
        <w:t>3. The Deployment Model — The Most Important Current Decision</w:t>
      </w:r>
    </w:p>
    <w:p>
      <w:pPr>
        <w:spacing w:after="100"/>
      </w:pPr>
      <w:r>
        <w:t>The system should be treated as a deployable product package, not as a single permanent shared SaaS installation. The same source code is the product; each customer receives an isolated runtime/configuration.</w:t>
      </w:r>
    </w:p>
    <w:p>
      <w:pPr>
        <w:pStyle w:val="Heading3"/>
      </w:pPr>
      <w:r>
        <w:t>Target topology:</w:t>
      </w:r>
    </w:p>
    <w:p>
      <w:pPr>
        <w:spacing w:after="100"/>
      </w:pPr>
      <w:r>
        <w:t>ONE CODEBASE</w:t>
        <w:br/>
        <w:t>│</w:t>
        <w:br/>
        <w:t>├── Company A deployment → App + DB + Clerk + providers + workers + secrets</w:t>
        <w:br/>
        <w:t>├── Company B deployment → App + DB + Clerk + providers + workers + secrets</w:t>
        <w:br/>
        <w:t>└── Company C deployment → App + DB + Clerk + providers + workers + secrets</w:t>
      </w:r>
    </w:p>
    <w:p>
      <w:pPr>
        <w:spacing w:after="100"/>
      </w:pPr>
      <w:r>
        <w:t>This means tenant isolation remains important inside a deployment, while deployment isolation becomes the outer security boundary between companies. A company’s credentials must never be reused by another company.</w:t>
      </w:r>
    </w:p>
    <w:p>
      <w:pPr>
        <w:spacing w:after="100"/>
      </w:pPr>
      <w:r>
        <w:t>The roadmap document defines the intended first-company lifecycle as: client purchase/engagement → collect requirements → provision isolated infrastructure → configure secrets → create DB/apply migrations → create company → create founding admin/head → configure Clerk → configure providers → configure domain/email → deploy workers/CCTV if required → smoke test → security test → handover. fileciteturn205file17</w:t>
      </w:r>
    </w:p>
    <w:p>
      <w:pPr>
        <w:spacing w:after="100"/>
      </w:pPr>
      <w:r>
        <w:t>ADMIN_EMAIL must never become a permanent authorization bypass. Provisioning shortcuts are bootstrap mechanisms only; final authorization must be database/RBAC driven.</w:t>
      </w:r>
    </w:p>
    <w:p>
      <w:pPr>
        <w:pStyle w:val="Heading1"/>
      </w:pPr>
      <w:r>
        <w:t>4. Development Hosting vs Final Client Hosting</w:t>
      </w:r>
    </w:p>
    <w:p>
      <w:pPr>
        <w:spacing w:after="100"/>
      </w:pPr>
      <w:r>
        <w:t>During development, Vercel is the primary application hosting environment. This is a development and validation choice, not a statement that every future customer must use Vercel.</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AF7"/>
          </w:tcPr>
          <w:p>
            <w:r/>
            <w:r>
              <w:rPr>
                <w:b/>
                <w:sz w:val="17"/>
              </w:rPr>
              <w:t>Layer</w:t>
            </w:r>
          </w:p>
        </w:tc>
        <w:tc>
          <w:tcPr>
            <w:tcW w:type="dxa" w:w="3456"/>
            <w:vAlign w:val="center"/>
            <w:shd w:fill="D9EAF7"/>
          </w:tcPr>
          <w:p>
            <w:r/>
            <w:r>
              <w:rPr>
                <w:b/>
                <w:sz w:val="17"/>
              </w:rPr>
              <w:t>Development/current direction</w:t>
            </w:r>
          </w:p>
        </w:tc>
        <w:tc>
          <w:tcPr>
            <w:tcW w:type="dxa" w:w="3456"/>
            <w:vAlign w:val="center"/>
            <w:shd w:fill="D9EAF7"/>
          </w:tcPr>
          <w:p>
            <w:r/>
            <w:r>
              <w:rPr>
                <w:b/>
                <w:sz w:val="17"/>
              </w:rPr>
              <w:t>Future client adaptation</w:t>
            </w:r>
          </w:p>
        </w:tc>
      </w:tr>
      <w:tr>
        <w:tc>
          <w:tcPr>
            <w:tcW w:type="dxa" w:w="1800"/>
            <w:vAlign w:val="center"/>
          </w:tcPr>
          <w:p>
            <w:r/>
            <w:r>
              <w:rPr>
                <w:b w:val="0"/>
                <w:sz w:val="17"/>
              </w:rPr>
              <w:t>Web application</w:t>
            </w:r>
          </w:p>
        </w:tc>
        <w:tc>
          <w:tcPr>
            <w:tcW w:type="dxa" w:w="3456"/>
            <w:vAlign w:val="center"/>
          </w:tcPr>
          <w:p>
            <w:r/>
            <w:r>
              <w:rPr>
                <w:b w:val="0"/>
                <w:sz w:val="17"/>
              </w:rPr>
              <w:t>Vercel / Next.js</w:t>
            </w:r>
          </w:p>
        </w:tc>
        <w:tc>
          <w:tcPr>
            <w:tcW w:type="dxa" w:w="3456"/>
            <w:vAlign w:val="center"/>
          </w:tcPr>
          <w:p>
            <w:r/>
            <w:r>
              <w:rPr>
                <w:b w:val="0"/>
                <w:sz w:val="17"/>
              </w:rPr>
              <w:t>Vercel, AWS, another supported Next.js host or client-approved platform</w:t>
            </w:r>
          </w:p>
        </w:tc>
      </w:tr>
      <w:tr>
        <w:tc>
          <w:tcPr>
            <w:tcW w:type="dxa" w:w="1800"/>
            <w:vAlign w:val="center"/>
          </w:tcPr>
          <w:p>
            <w:r/>
            <w:r>
              <w:rPr>
                <w:b w:val="0"/>
                <w:sz w:val="17"/>
              </w:rPr>
              <w:t>Database</w:t>
            </w:r>
          </w:p>
        </w:tc>
        <w:tc>
          <w:tcPr>
            <w:tcW w:type="dxa" w:w="3456"/>
            <w:vAlign w:val="center"/>
          </w:tcPr>
          <w:p>
            <w:r/>
            <w:r>
              <w:rPr>
                <w:b w:val="0"/>
                <w:sz w:val="17"/>
              </w:rPr>
              <w:t>PostgreSQL/Supabase</w:t>
            </w:r>
          </w:p>
        </w:tc>
        <w:tc>
          <w:tcPr>
            <w:tcW w:type="dxa" w:w="3456"/>
            <w:vAlign w:val="center"/>
          </w:tcPr>
          <w:p>
            <w:r/>
            <w:r>
              <w:rPr>
                <w:b w:val="0"/>
                <w:sz w:val="17"/>
              </w:rPr>
              <w:t>Supabase PostgreSQL, AWS RDS/Aurora PostgreSQL or another compatible PostgreSQL deployment, subject to portability validation</w:t>
            </w:r>
          </w:p>
        </w:tc>
      </w:tr>
      <w:tr>
        <w:tc>
          <w:tcPr>
            <w:tcW w:type="dxa" w:w="1800"/>
            <w:vAlign w:val="center"/>
          </w:tcPr>
          <w:p>
            <w:r/>
            <w:r>
              <w:rPr>
                <w:b w:val="0"/>
                <w:sz w:val="17"/>
              </w:rPr>
              <w:t>Authentication</w:t>
            </w:r>
          </w:p>
        </w:tc>
        <w:tc>
          <w:tcPr>
            <w:tcW w:type="dxa" w:w="3456"/>
            <w:vAlign w:val="center"/>
          </w:tcPr>
          <w:p>
            <w:r/>
            <w:r>
              <w:rPr>
                <w:b w:val="0"/>
                <w:sz w:val="17"/>
              </w:rPr>
              <w:t>Clerk architecture</w:t>
            </w:r>
          </w:p>
        </w:tc>
        <w:tc>
          <w:tcPr>
            <w:tcW w:type="dxa" w:w="3456"/>
            <w:vAlign w:val="center"/>
          </w:tcPr>
          <w:p>
            <w:r/>
            <w:r>
              <w:rPr>
                <w:b w:val="0"/>
                <w:sz w:val="17"/>
              </w:rPr>
              <w:t>Client-specific Clerk configuration or a later supported identity provider adapter if explicitly developed</w:t>
            </w:r>
          </w:p>
        </w:tc>
      </w:tr>
      <w:tr>
        <w:tc>
          <w:tcPr>
            <w:tcW w:type="dxa" w:w="1800"/>
            <w:vAlign w:val="center"/>
          </w:tcPr>
          <w:p>
            <w:r/>
            <w:r>
              <w:rPr>
                <w:b w:val="0"/>
                <w:sz w:val="17"/>
              </w:rPr>
              <w:t>Cache/queues</w:t>
            </w:r>
          </w:p>
        </w:tc>
        <w:tc>
          <w:tcPr>
            <w:tcW w:type="dxa" w:w="3456"/>
            <w:vAlign w:val="center"/>
          </w:tcPr>
          <w:p>
            <w:r/>
            <w:r>
              <w:rPr>
                <w:b w:val="0"/>
                <w:sz w:val="17"/>
              </w:rPr>
              <w:t>Redis-oriented architecture</w:t>
            </w:r>
          </w:p>
        </w:tc>
        <w:tc>
          <w:tcPr>
            <w:tcW w:type="dxa" w:w="3456"/>
            <w:vAlign w:val="center"/>
          </w:tcPr>
          <w:p>
            <w:r/>
            <w:r>
              <w:rPr>
                <w:b w:val="0"/>
                <w:sz w:val="17"/>
              </w:rPr>
              <w:t>Client-selected Redis-compatible service/managed Redis</w:t>
            </w:r>
          </w:p>
        </w:tc>
      </w:tr>
      <w:tr>
        <w:tc>
          <w:tcPr>
            <w:tcW w:type="dxa" w:w="1800"/>
            <w:vAlign w:val="center"/>
          </w:tcPr>
          <w:p>
            <w:r/>
            <w:r>
              <w:rPr>
                <w:b w:val="0"/>
                <w:sz w:val="17"/>
              </w:rPr>
              <w:t>Object storage</w:t>
            </w:r>
          </w:p>
        </w:tc>
        <w:tc>
          <w:tcPr>
            <w:tcW w:type="dxa" w:w="3456"/>
            <w:vAlign w:val="center"/>
          </w:tcPr>
          <w:p>
            <w:r/>
            <w:r>
              <w:rPr>
                <w:b w:val="0"/>
                <w:sz w:val="17"/>
              </w:rPr>
              <w:t>S3-compatible abstraction</w:t>
            </w:r>
          </w:p>
        </w:tc>
        <w:tc>
          <w:tcPr>
            <w:tcW w:type="dxa" w:w="3456"/>
            <w:vAlign w:val="center"/>
          </w:tcPr>
          <w:p>
            <w:r/>
            <w:r>
              <w:rPr>
                <w:b w:val="0"/>
                <w:sz w:val="17"/>
              </w:rPr>
              <w:t>AWS S3, Cloudflare R2, Supabase Storage or another supported object-storage adapter</w:t>
            </w:r>
          </w:p>
        </w:tc>
      </w:tr>
      <w:tr>
        <w:tc>
          <w:tcPr>
            <w:tcW w:type="dxa" w:w="1800"/>
            <w:vAlign w:val="center"/>
          </w:tcPr>
          <w:p>
            <w:r/>
            <w:r>
              <w:rPr>
                <w:b w:val="0"/>
                <w:sz w:val="17"/>
              </w:rPr>
              <w:t>Email</w:t>
            </w:r>
          </w:p>
        </w:tc>
        <w:tc>
          <w:tcPr>
            <w:tcW w:type="dxa" w:w="3456"/>
            <w:vAlign w:val="center"/>
          </w:tcPr>
          <w:p>
            <w:r/>
            <w:r>
              <w:rPr>
                <w:b w:val="0"/>
                <w:sz w:val="17"/>
              </w:rPr>
              <w:t>Provider abstraction</w:t>
            </w:r>
          </w:p>
        </w:tc>
        <w:tc>
          <w:tcPr>
            <w:tcW w:type="dxa" w:w="3456"/>
            <w:vAlign w:val="center"/>
          </w:tcPr>
          <w:p>
            <w:r/>
            <w:r>
              <w:rPr>
                <w:b w:val="0"/>
                <w:sz w:val="17"/>
              </w:rPr>
              <w:t>Resend or client-selected supported email provider</w:t>
            </w:r>
          </w:p>
        </w:tc>
      </w:tr>
      <w:tr>
        <w:tc>
          <w:tcPr>
            <w:tcW w:type="dxa" w:w="1800"/>
            <w:vAlign w:val="center"/>
          </w:tcPr>
          <w:p>
            <w:r/>
            <w:r>
              <w:rPr>
                <w:b w:val="0"/>
                <w:sz w:val="17"/>
              </w:rPr>
              <w:t>Telephony/SMS</w:t>
            </w:r>
          </w:p>
        </w:tc>
        <w:tc>
          <w:tcPr>
            <w:tcW w:type="dxa" w:w="3456"/>
            <w:vAlign w:val="center"/>
          </w:tcPr>
          <w:p>
            <w:r/>
            <w:r>
              <w:rPr>
                <w:b w:val="0"/>
                <w:sz w:val="17"/>
              </w:rPr>
              <w:t>Provider abstraction</w:t>
            </w:r>
          </w:p>
        </w:tc>
        <w:tc>
          <w:tcPr>
            <w:tcW w:type="dxa" w:w="3456"/>
            <w:vAlign w:val="center"/>
          </w:tcPr>
          <w:p>
            <w:r/>
            <w:r>
              <w:rPr>
                <w:b w:val="0"/>
                <w:sz w:val="17"/>
              </w:rPr>
              <w:t>Twilio/Exotel/other supported provider</w:t>
            </w:r>
          </w:p>
        </w:tc>
      </w:tr>
      <w:tr>
        <w:tc>
          <w:tcPr>
            <w:tcW w:type="dxa" w:w="1800"/>
            <w:vAlign w:val="center"/>
          </w:tcPr>
          <w:p>
            <w:r/>
            <w:r>
              <w:rPr>
                <w:b w:val="0"/>
                <w:sz w:val="17"/>
              </w:rPr>
              <w:t>AI</w:t>
            </w:r>
          </w:p>
        </w:tc>
        <w:tc>
          <w:tcPr>
            <w:tcW w:type="dxa" w:w="3456"/>
            <w:vAlign w:val="center"/>
          </w:tcPr>
          <w:p>
            <w:r/>
            <w:r>
              <w:rPr>
                <w:b w:val="0"/>
                <w:sz w:val="17"/>
              </w:rPr>
              <w:t>Provider abstraction</w:t>
            </w:r>
          </w:p>
        </w:tc>
        <w:tc>
          <w:tcPr>
            <w:tcW w:type="dxa" w:w="3456"/>
            <w:vAlign w:val="center"/>
          </w:tcPr>
          <w:p>
            <w:r/>
            <w:r>
              <w:rPr>
                <w:b w:val="0"/>
                <w:sz w:val="17"/>
              </w:rPr>
              <w:t>Gemini/OpenAI/Anthropic or another supported provider</w:t>
            </w:r>
          </w:p>
        </w:tc>
      </w:tr>
      <w:tr>
        <w:tc>
          <w:tcPr>
            <w:tcW w:type="dxa" w:w="1800"/>
            <w:vAlign w:val="center"/>
          </w:tcPr>
          <w:p>
            <w:r/>
            <w:r>
              <w:rPr>
                <w:b w:val="0"/>
                <w:sz w:val="17"/>
              </w:rPr>
              <w:t>Realtime</w:t>
            </w:r>
          </w:p>
        </w:tc>
        <w:tc>
          <w:tcPr>
            <w:tcW w:type="dxa" w:w="3456"/>
            <w:vAlign w:val="center"/>
          </w:tcPr>
          <w:p>
            <w:r/>
            <w:r>
              <w:rPr>
                <w:b w:val="0"/>
                <w:sz w:val="17"/>
              </w:rPr>
              <w:t>Managed provider architecture</w:t>
            </w:r>
          </w:p>
        </w:tc>
        <w:tc>
          <w:tcPr>
            <w:tcW w:type="dxa" w:w="3456"/>
            <w:vAlign w:val="center"/>
          </w:tcPr>
          <w:p>
            <w:r/>
            <w:r>
              <w:rPr>
                <w:b w:val="0"/>
                <w:sz w:val="17"/>
              </w:rPr>
              <w:t>Pusher/Supabase Realtime/Ably or selected supported provider</w:t>
            </w:r>
          </w:p>
        </w:tc>
      </w:tr>
      <w:tr>
        <w:tc>
          <w:tcPr>
            <w:tcW w:type="dxa" w:w="1800"/>
            <w:vAlign w:val="center"/>
          </w:tcPr>
          <w:p>
            <w:r/>
            <w:r>
              <w:rPr>
                <w:b w:val="0"/>
                <w:sz w:val="17"/>
              </w:rPr>
              <w:t>CCTV</w:t>
            </w:r>
          </w:p>
        </w:tc>
        <w:tc>
          <w:tcPr>
            <w:tcW w:type="dxa" w:w="3456"/>
            <w:vAlign w:val="center"/>
          </w:tcPr>
          <w:p>
            <w:r/>
            <w:r>
              <w:rPr>
                <w:b w:val="0"/>
                <w:sz w:val="17"/>
              </w:rPr>
              <w:t>MediaMTX + persistent external worker</w:t>
            </w:r>
          </w:p>
        </w:tc>
        <w:tc>
          <w:tcPr>
            <w:tcW w:type="dxa" w:w="3456"/>
            <w:vAlign w:val="center"/>
          </w:tcPr>
          <w:p>
            <w:r/>
            <w:r>
              <w:rPr>
                <w:b w:val="0"/>
                <w:sz w:val="17"/>
              </w:rPr>
              <w:t>Client-hosted MediaMTX/worker nodes, with storage and networking sized for site</w:t>
            </w:r>
          </w:p>
        </w:tc>
      </w:tr>
      <w:tr>
        <w:tc>
          <w:tcPr>
            <w:tcW w:type="dxa" w:w="1800"/>
            <w:vAlign w:val="center"/>
          </w:tcPr>
          <w:p>
            <w:r/>
            <w:r>
              <w:rPr>
                <w:b w:val="0"/>
                <w:sz w:val="17"/>
              </w:rPr>
              <w:t>Monitoring/backup</w:t>
            </w:r>
          </w:p>
        </w:tc>
        <w:tc>
          <w:tcPr>
            <w:tcW w:type="dxa" w:w="3456"/>
            <w:vAlign w:val="center"/>
          </w:tcPr>
          <w:p>
            <w:r/>
            <w:r>
              <w:rPr>
                <w:b w:val="0"/>
                <w:sz w:val="17"/>
              </w:rPr>
              <w:t>Development setup</w:t>
            </w:r>
          </w:p>
        </w:tc>
        <w:tc>
          <w:tcPr>
            <w:tcW w:type="dxa" w:w="3456"/>
            <w:vAlign w:val="center"/>
          </w:tcPr>
          <w:p>
            <w:r/>
            <w:r>
              <w:rPr>
                <w:b w:val="0"/>
                <w:sz w:val="17"/>
              </w:rPr>
              <w:t>Client-selected monitoring, backup and recovery infrastructure</w:t>
            </w:r>
          </w:p>
        </w:tc>
      </w:tr>
    </w:tbl>
    <w:p/>
    <w:p>
      <w:pPr>
        <w:spacing w:after="100"/>
      </w:pPr>
      <w:r>
        <w:t>Important portability boundary: using PostgreSQL through Prisma makes database portability much more realistic, but Supabase-specific features—such as PostgreSQL roles, RLS policies, extensions, connection pooling and platform-managed objects—must be isolated, documented and tested when moving to AWS or another PostgreSQL host. Therefore 'AWS-ready' means architecturally adaptable and subject to a dedicated compatibility/provisioning test; it does not mean every provider-specific detail is already certified on AWS.</w:t>
      </w:r>
    </w:p>
    <w:p>
      <w:pPr>
        <w:pStyle w:val="Heading1"/>
      </w:pPr>
      <w:r>
        <w:t>5. Complete Project History &amp; Architectural Evolution</w:t>
      </w:r>
    </w:p>
    <w:p>
      <w:pPr>
        <w:pStyle w:val="Heading2"/>
      </w:pPr>
      <w:r>
        <w:t>5.1 Original direction</w:t>
      </w:r>
    </w:p>
    <w:p>
      <w:pPr>
        <w:spacing w:after="100"/>
      </w:pPr>
      <w:r>
        <w:t>The original project vision combined CRM, CCTV/AI monitoring, security operations, communications, staff/field management, reports, dashboards/mobile and business functions. The original commercial plan also assumed a traditional multi-tenant SaaS with subscriptions, trials and payment processing. The later deployment decision superseded that part of the roadmap. fileciteturn205file5</w:t>
      </w:r>
    </w:p>
    <w:p>
      <w:pPr>
        <w:pStyle w:val="Heading2"/>
      </w:pPr>
      <w:r>
        <w:t>5.2 Database and Prisma fracture</w:t>
      </w:r>
    </w:p>
    <w:p>
      <w:pPr>
        <w:spacing w:after="100"/>
      </w:pPr>
      <w:r>
        <w:t>A major historical problem was migration/schema divergence. Orphaned C11 migration SQL was found whose intended changes did not match schema.prisma, the local physical database and/or applied migration history. The recovery direction became forensic preservation, schema reconciliation, native Prisma migration generation, and Expand → Deploy → Backfill → Contract sequencing where required. The later stabilization program strengthened this into Five-Way Database Reconciliation plus empty/disposable database migration testing. fileciteturn205file9</w:t>
      </w:r>
    </w:p>
    <w:p>
      <w:pPr>
        <w:pStyle w:val="Heading2"/>
      </w:pPr>
      <w:r>
        <w:t>5.3 Application-only isolation → PostgreSQL RLS</w:t>
      </w:r>
    </w:p>
    <w:p>
      <w:pPr>
        <w:spacing w:after="100"/>
      </w:pPr>
      <w:r>
        <w:t>The project learned that tenantId filtering in application queries is not sufficient as the sole security boundary. Missing RLS on AI-related tables was identified as a serious historical risk. The architecture was strengthened with PostgreSQL RLS plus application-level authorization and ownership checks, followed by adversarial cross-tenant testing. fileciteturn205file12</w:t>
      </w:r>
    </w:p>
    <w:p>
      <w:pPr>
        <w:pStyle w:val="Heading2"/>
      </w:pPr>
      <w:r>
        <w:t>5.4 Serverless workers → persistent external workers</w:t>
      </w:r>
    </w:p>
    <w:p>
      <w:pPr>
        <w:spacing w:after="100"/>
      </w:pPr>
      <w:r>
        <w:t>Early designs placed long-running processing, filesystem operations and lease heartbeats in serverless/API execution. This was rejected because Vercel functions are not persistent daemons and cannot own the filesystem of an external recording machine. The corrected topology makes Vercel responsible for UI/API/orchestration while persistent workers handle local files, long-running processing, recording ingestion and AI work. fileciteturn205file15</w:t>
      </w:r>
    </w:p>
    <w:p>
      <w:pPr>
        <w:pStyle w:val="Heading2"/>
      </w:pPr>
      <w:r>
        <w:t>5.5 Fake CCTV → MediaMTX + worker architecture</w:t>
      </w:r>
    </w:p>
    <w:p>
      <w:pPr>
        <w:spacing w:after="100"/>
      </w:pPr>
      <w:r>
        <w:t>The early CCTV presentation was effectively a simulated stream. The project then pivoted to a real architecture: Camera → MediaMTX → authenticated webhook → durable job → node-affine worker → verified storage → AI job/event. This is a major architectural correction, not merely a UI enhancement. fileciteturn205file15</w:t>
      </w:r>
    </w:p>
    <w:p>
      <w:pPr>
        <w:pStyle w:val="Heading2"/>
      </w:pPr>
      <w:r>
        <w:t>5.6 Brittle credentials → provider health/degradation</w:t>
      </w:r>
    </w:p>
    <w:p>
      <w:pPr>
        <w:spacing w:after="100"/>
      </w:pPr>
      <w:r>
        <w:t>Earlier providers could crash when credentials were absent and mock implementations had created a risk of fake success. The current rule is that missing credentials are a capability state. Provider states include READY, MISSING_CREDENTIALS, MISCONFIGURED and UNAVAILABLE, combined with criticality such as CRITICAL, DEGRADED and OPTIONAL. fileciteturn205file1</w:t>
      </w:r>
    </w:p>
    <w:p>
      <w:pPr>
        <w:pStyle w:val="Heading2"/>
      </w:pPr>
      <w:r>
        <w:t>5.7 Realtime correction</w:t>
      </w:r>
    </w:p>
    <w:p>
      <w:pPr>
        <w:spacing w:after="100"/>
      </w:pPr>
      <w:r>
        <w:t>Persistent/local WebSocket assumptions were rejected for the Vercel architecture. The intended direction is a managed realtime provider with tenant/channel authorization, permission validation and controlled degradation. Candidates historically considered include Pusher, Supabase Realtime and Ably. fileciteturn205file14</w:t>
      </w:r>
    </w:p>
    <w:p>
      <w:pPr>
        <w:pStyle w:val="Heading1"/>
      </w:pPr>
      <w:r>
        <w:t>6. Deployment History &amp; Current Environment Record</w:t>
      </w:r>
    </w:p>
    <w:p>
      <w:pPr>
        <w:spacing w:after="100"/>
      </w:pPr>
      <w:r>
        <w:t>The known development deployment record should be understood as an evolution from local development and forensic/stabilization environments into the current Vercel-hosted development/production-like deployment. The repository is GitHub Arunesh2004/CRM-v01, branch main. The Vercel project is crm-v01 under the arunesh-s-projects team, with the known production deployment URL crm-v01.vercel.app.</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7"/>
              </w:rPr>
              <w:t>Item</w:t>
            </w:r>
          </w:p>
        </w:tc>
        <w:tc>
          <w:tcPr>
            <w:tcW w:type="dxa" w:w="3816"/>
            <w:vAlign w:val="center"/>
            <w:shd w:fill="D9EAF7"/>
          </w:tcPr>
          <w:p>
            <w:r/>
            <w:r>
              <w:rPr>
                <w:b/>
                <w:sz w:val="17"/>
              </w:rPr>
              <w:t>Known current record</w:t>
            </w:r>
          </w:p>
        </w:tc>
        <w:tc>
          <w:tcPr>
            <w:tcW w:type="dxa" w:w="2880"/>
            <w:vAlign w:val="center"/>
            <w:shd w:fill="D9EAF7"/>
          </w:tcPr>
          <w:p>
            <w:r/>
            <w:r>
              <w:rPr>
                <w:b/>
                <w:sz w:val="17"/>
              </w:rPr>
              <w:t>Security/usage note</w:t>
            </w:r>
          </w:p>
        </w:tc>
      </w:tr>
      <w:tr>
        <w:tc>
          <w:tcPr>
            <w:tcW w:type="dxa" w:w="2160"/>
            <w:vAlign w:val="center"/>
          </w:tcPr>
          <w:p>
            <w:r/>
            <w:r>
              <w:rPr>
                <w:b w:val="0"/>
                <w:sz w:val="17"/>
              </w:rPr>
              <w:t>Git repository</w:t>
            </w:r>
          </w:p>
        </w:tc>
        <w:tc>
          <w:tcPr>
            <w:tcW w:type="dxa" w:w="3816"/>
            <w:vAlign w:val="center"/>
          </w:tcPr>
          <w:p>
            <w:r/>
            <w:r>
              <w:rPr>
                <w:b w:val="0"/>
                <w:sz w:val="17"/>
              </w:rPr>
              <w:t>Arunesh2004/CRM-v01</w:t>
            </w:r>
          </w:p>
        </w:tc>
        <w:tc>
          <w:tcPr>
            <w:tcW w:type="dxa" w:w="2880"/>
            <w:vAlign w:val="center"/>
          </w:tcPr>
          <w:p>
            <w:r/>
            <w:r>
              <w:rPr>
                <w:b w:val="0"/>
                <w:sz w:val="17"/>
              </w:rPr>
              <w:t>Source of truth for current implementation.</w:t>
            </w:r>
          </w:p>
        </w:tc>
      </w:tr>
      <w:tr>
        <w:tc>
          <w:tcPr>
            <w:tcW w:type="dxa" w:w="2160"/>
            <w:vAlign w:val="center"/>
          </w:tcPr>
          <w:p>
            <w:r/>
            <w:r>
              <w:rPr>
                <w:b w:val="0"/>
                <w:sz w:val="17"/>
              </w:rPr>
              <w:t>Branch</w:t>
            </w:r>
          </w:p>
        </w:tc>
        <w:tc>
          <w:tcPr>
            <w:tcW w:type="dxa" w:w="3816"/>
            <w:vAlign w:val="center"/>
          </w:tcPr>
          <w:p>
            <w:r/>
            <w:r>
              <w:rPr>
                <w:b w:val="0"/>
                <w:sz w:val="17"/>
              </w:rPr>
              <w:t>main</w:t>
            </w:r>
          </w:p>
        </w:tc>
        <w:tc>
          <w:tcPr>
            <w:tcW w:type="dxa" w:w="2880"/>
            <w:vAlign w:val="center"/>
          </w:tcPr>
          <w:p>
            <w:r/>
            <w:r>
              <w:rPr>
                <w:b w:val="0"/>
                <w:sz w:val="17"/>
              </w:rPr>
              <w:t>Deployment branch currently used for the project.</w:t>
            </w:r>
          </w:p>
        </w:tc>
      </w:tr>
      <w:tr>
        <w:tc>
          <w:tcPr>
            <w:tcW w:type="dxa" w:w="2160"/>
            <w:vAlign w:val="center"/>
          </w:tcPr>
          <w:p>
            <w:r/>
            <w:r>
              <w:rPr>
                <w:b w:val="0"/>
                <w:sz w:val="17"/>
              </w:rPr>
              <w:t>Vercel project</w:t>
            </w:r>
          </w:p>
        </w:tc>
        <w:tc>
          <w:tcPr>
            <w:tcW w:type="dxa" w:w="3816"/>
            <w:vAlign w:val="center"/>
          </w:tcPr>
          <w:p>
            <w:r/>
            <w:r>
              <w:rPr>
                <w:b w:val="0"/>
                <w:sz w:val="17"/>
              </w:rPr>
              <w:t>crm-v01</w:t>
            </w:r>
          </w:p>
        </w:tc>
        <w:tc>
          <w:tcPr>
            <w:tcW w:type="dxa" w:w="2880"/>
            <w:vAlign w:val="center"/>
          </w:tcPr>
          <w:p>
            <w:r/>
            <w:r>
              <w:rPr>
                <w:b w:val="0"/>
                <w:sz w:val="17"/>
              </w:rPr>
              <w:t>Primary development/application hosting.</w:t>
            </w:r>
          </w:p>
        </w:tc>
      </w:tr>
      <w:tr>
        <w:tc>
          <w:tcPr>
            <w:tcW w:type="dxa" w:w="2160"/>
            <w:vAlign w:val="center"/>
          </w:tcPr>
          <w:p>
            <w:r/>
            <w:r>
              <w:rPr>
                <w:b w:val="0"/>
                <w:sz w:val="17"/>
              </w:rPr>
              <w:t>Vercel team</w:t>
            </w:r>
          </w:p>
        </w:tc>
        <w:tc>
          <w:tcPr>
            <w:tcW w:type="dxa" w:w="3816"/>
            <w:vAlign w:val="center"/>
          </w:tcPr>
          <w:p>
            <w:r/>
            <w:r>
              <w:rPr>
                <w:b w:val="0"/>
                <w:sz w:val="17"/>
              </w:rPr>
              <w:t>arunesh-s-projects</w:t>
            </w:r>
          </w:p>
        </w:tc>
        <w:tc>
          <w:tcPr>
            <w:tcW w:type="dxa" w:w="2880"/>
            <w:vAlign w:val="center"/>
          </w:tcPr>
          <w:p>
            <w:r/>
            <w:r>
              <w:rPr>
                <w:b w:val="0"/>
                <w:sz w:val="17"/>
              </w:rPr>
              <w:t>Current hosting organization/team record.</w:t>
            </w:r>
          </w:p>
        </w:tc>
      </w:tr>
      <w:tr>
        <w:tc>
          <w:tcPr>
            <w:tcW w:type="dxa" w:w="2160"/>
            <w:vAlign w:val="center"/>
          </w:tcPr>
          <w:p>
            <w:r/>
            <w:r>
              <w:rPr>
                <w:b w:val="0"/>
                <w:sz w:val="17"/>
              </w:rPr>
              <w:t>Known Vercel production URL</w:t>
            </w:r>
          </w:p>
        </w:tc>
        <w:tc>
          <w:tcPr>
            <w:tcW w:type="dxa" w:w="3816"/>
            <w:vAlign w:val="center"/>
          </w:tcPr>
          <w:p>
            <w:r/>
            <w:r>
              <w:rPr>
                <w:b w:val="0"/>
                <w:sz w:val="17"/>
              </w:rPr>
              <w:t>https://crm-v01.vercel.app</w:t>
            </w:r>
          </w:p>
        </w:tc>
        <w:tc>
          <w:tcPr>
            <w:tcW w:type="dxa" w:w="2880"/>
            <w:vAlign w:val="center"/>
          </w:tcPr>
          <w:p>
            <w:r/>
            <w:r>
              <w:rPr>
                <w:b w:val="0"/>
                <w:sz w:val="17"/>
              </w:rPr>
              <w:t>Use for development/stabilization; do not equate deployment existence with production certification.</w:t>
            </w:r>
          </w:p>
        </w:tc>
      </w:tr>
      <w:tr>
        <w:tc>
          <w:tcPr>
            <w:tcW w:type="dxa" w:w="2160"/>
            <w:vAlign w:val="center"/>
          </w:tcPr>
          <w:p>
            <w:r/>
            <w:r>
              <w:rPr>
                <w:b w:val="0"/>
                <w:sz w:val="17"/>
              </w:rPr>
              <w:t>Production database</w:t>
            </w:r>
          </w:p>
        </w:tc>
        <w:tc>
          <w:tcPr>
            <w:tcW w:type="dxa" w:w="3816"/>
            <w:vAlign w:val="center"/>
          </w:tcPr>
          <w:p>
            <w:r/>
            <w:r>
              <w:rPr>
                <w:b w:val="0"/>
                <w:sz w:val="17"/>
              </w:rPr>
              <w:t>Supabase PostgreSQL; ref ughcghzhmsruhalngrxp</w:t>
            </w:r>
          </w:p>
        </w:tc>
        <w:tc>
          <w:tcPr>
            <w:tcW w:type="dxa" w:w="2880"/>
            <w:vAlign w:val="center"/>
          </w:tcPr>
          <w:p>
            <w:r/>
            <w:r>
              <w:rPr>
                <w:b w:val="0"/>
                <w:sz w:val="17"/>
              </w:rPr>
              <w:t>This is the correct current Production ref; the old ref apzqsmlecxtlnwkzbbcv must never be used.</w:t>
            </w:r>
          </w:p>
        </w:tc>
      </w:tr>
      <w:tr>
        <w:tc>
          <w:tcPr>
            <w:tcW w:type="dxa" w:w="2160"/>
            <w:vAlign w:val="center"/>
          </w:tcPr>
          <w:p>
            <w:r/>
            <w:r>
              <w:rPr>
                <w:b w:val="0"/>
                <w:sz w:val="17"/>
              </w:rPr>
              <w:t>Local DB environment</w:t>
            </w:r>
          </w:p>
        </w:tc>
        <w:tc>
          <w:tcPr>
            <w:tcW w:type="dxa" w:w="3816"/>
            <w:vAlign w:val="center"/>
          </w:tcPr>
          <w:p>
            <w:r/>
            <w:r>
              <w:rPr>
                <w:b w:val="0"/>
                <w:sz w:val="17"/>
              </w:rPr>
              <w:t>E2E DB at localhost:5435/e2e_db</w:t>
            </w:r>
          </w:p>
        </w:tc>
        <w:tc>
          <w:tcPr>
            <w:tcW w:type="dxa" w:w="2880"/>
            <w:vAlign w:val="center"/>
          </w:tcPr>
          <w:p>
            <w:r/>
            <w:r>
              <w:rPr>
                <w:b w:val="0"/>
                <w:sz w:val="17"/>
              </w:rPr>
              <w:t>Used for isolated E2E/security testing.</w:t>
            </w:r>
          </w:p>
        </w:tc>
      </w:tr>
      <w:tr>
        <w:tc>
          <w:tcPr>
            <w:tcW w:type="dxa" w:w="2160"/>
            <w:vAlign w:val="center"/>
          </w:tcPr>
          <w:p>
            <w:r/>
            <w:r>
              <w:rPr>
                <w:b w:val="0"/>
                <w:sz w:val="17"/>
              </w:rPr>
              <w:t>Prisma</w:t>
            </w:r>
          </w:p>
        </w:tc>
        <w:tc>
          <w:tcPr>
            <w:tcW w:type="dxa" w:w="3816"/>
            <w:vAlign w:val="center"/>
          </w:tcPr>
          <w:p>
            <w:r/>
            <w:r>
              <w:rPr>
                <w:b w:val="0"/>
                <w:sz w:val="17"/>
              </w:rPr>
              <w:t>6.19.3</w:t>
            </w:r>
          </w:p>
        </w:tc>
        <w:tc>
          <w:tcPr>
            <w:tcW w:type="dxa" w:w="2880"/>
            <w:vAlign w:val="center"/>
          </w:tcPr>
          <w:p>
            <w:r/>
            <w:r>
              <w:rPr>
                <w:b w:val="0"/>
                <w:sz w:val="17"/>
              </w:rPr>
              <w:t>Current ORM/tooling direction.</w:t>
            </w:r>
          </w:p>
        </w:tc>
      </w:tr>
      <w:tr>
        <w:tc>
          <w:tcPr>
            <w:tcW w:type="dxa" w:w="2160"/>
            <w:vAlign w:val="center"/>
          </w:tcPr>
          <w:p>
            <w:r/>
            <w:r>
              <w:rPr>
                <w:b w:val="0"/>
                <w:sz w:val="17"/>
              </w:rPr>
              <w:t>Production PostgreSQL</w:t>
            </w:r>
          </w:p>
        </w:tc>
        <w:tc>
          <w:tcPr>
            <w:tcW w:type="dxa" w:w="3816"/>
            <w:vAlign w:val="center"/>
          </w:tcPr>
          <w:p>
            <w:r/>
            <w:r>
              <w:rPr>
                <w:b w:val="0"/>
                <w:sz w:val="17"/>
              </w:rPr>
              <w:t>17.6</w:t>
            </w:r>
          </w:p>
        </w:tc>
        <w:tc>
          <w:tcPr>
            <w:tcW w:type="dxa" w:w="2880"/>
            <w:vAlign w:val="center"/>
          </w:tcPr>
          <w:p>
            <w:r/>
            <w:r>
              <w:rPr>
                <w:b w:val="0"/>
                <w:sz w:val="17"/>
              </w:rPr>
              <w:t>Known live version.</w:t>
            </w:r>
          </w:p>
        </w:tc>
      </w:tr>
      <w:tr>
        <w:tc>
          <w:tcPr>
            <w:tcW w:type="dxa" w:w="2160"/>
            <w:vAlign w:val="center"/>
          </w:tcPr>
          <w:p>
            <w:r/>
            <w:r>
              <w:rPr>
                <w:b w:val="0"/>
                <w:sz w:val="17"/>
              </w:rPr>
              <w:t>E2E PostgreSQL</w:t>
            </w:r>
          </w:p>
        </w:tc>
        <w:tc>
          <w:tcPr>
            <w:tcW w:type="dxa" w:w="3816"/>
            <w:vAlign w:val="center"/>
          </w:tcPr>
          <w:p>
            <w:r/>
            <w:r>
              <w:rPr>
                <w:b w:val="0"/>
                <w:sz w:val="17"/>
              </w:rPr>
              <w:t>15.4</w:t>
            </w:r>
          </w:p>
        </w:tc>
        <w:tc>
          <w:tcPr>
            <w:tcW w:type="dxa" w:w="2880"/>
            <w:vAlign w:val="center"/>
          </w:tcPr>
          <w:p>
            <w:r/>
            <w:r>
              <w:rPr>
                <w:b w:val="0"/>
                <w:sz w:val="17"/>
              </w:rPr>
              <w:t>Version difference is known; not currently treated as a blocker.</w:t>
            </w:r>
          </w:p>
        </w:tc>
      </w:tr>
    </w:tbl>
    <w:p/>
    <w:p>
      <w:pPr>
        <w:spacing w:after="100"/>
      </w:pPr>
      <w:r>
        <w:t>Credential safety note: the project history contains evidence that a Production database credential appeared in execution transcripts. That credential is considered compromised and must not be repeated or pasted into chat. Rotation belongs in Supabase/Vercel/secret-management workflows. This document deliberately records credential categories and locations, not secret values.</w:t>
      </w:r>
    </w:p>
    <w:p>
      <w:pPr>
        <w:spacing w:after="100"/>
      </w:pPr>
      <w:r>
        <w:t>The current local environment has DATABASE_URL and, later, DIRECT_URL configured for the development/reconciliation workflow. The exact secret values are intentionally omitted.</w:t>
      </w:r>
    </w:p>
    <w:p>
      <w:pPr>
        <w:pStyle w:val="Heading1"/>
      </w:pPr>
      <w:r>
        <w:t>7. What Credentials/Providers We Have vs What We Do Not Have</w:t>
      </w:r>
    </w:p>
    <w:p>
      <w:pPr>
        <w:spacing w:after="100"/>
      </w:pPr>
      <w:r>
        <w:t>The purpose of this section is not to expose secrets. It is to define the operating model: what is currently available, what is absent, and what the application must do in each state.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D9EAF7"/>
          </w:tcPr>
          <w:p>
            <w:r/>
            <w:r>
              <w:rPr>
                <w:b/>
                <w:sz w:val="17"/>
              </w:rPr>
              <w:t>Provider / infrastructure</w:t>
            </w:r>
          </w:p>
        </w:tc>
        <w:tc>
          <w:tcPr>
            <w:tcW w:type="dxa" w:w="2376"/>
            <w:vAlign w:val="center"/>
            <w:shd w:fill="D9EAF7"/>
          </w:tcPr>
          <w:p>
            <w:r/>
            <w:r>
              <w:rPr>
                <w:b/>
                <w:sz w:val="17"/>
              </w:rPr>
              <w:t>Current knowledge</w:t>
            </w:r>
          </w:p>
        </w:tc>
        <w:tc>
          <w:tcPr>
            <w:tcW w:type="dxa" w:w="3024"/>
            <w:vAlign w:val="center"/>
            <w:shd w:fill="D9EAF7"/>
          </w:tcPr>
          <w:p>
            <w:r/>
            <w:r>
              <w:rPr>
                <w:b/>
                <w:sz w:val="17"/>
              </w:rPr>
              <w:t>Development strategy now</w:t>
            </w:r>
          </w:p>
        </w:tc>
        <w:tc>
          <w:tcPr>
            <w:tcW w:type="dxa" w:w="2232"/>
            <w:vAlign w:val="center"/>
            <w:shd w:fill="D9EAF7"/>
          </w:tcPr>
          <w:p>
            <w:r/>
            <w:r>
              <w:rPr>
                <w:b/>
                <w:sz w:val="17"/>
              </w:rPr>
              <w:t>Client production strategy</w:t>
            </w:r>
          </w:p>
        </w:tc>
      </w:tr>
      <w:tr>
        <w:tc>
          <w:tcPr>
            <w:tcW w:type="dxa" w:w="1800"/>
            <w:vAlign w:val="center"/>
          </w:tcPr>
          <w:p>
            <w:r/>
            <w:r>
              <w:rPr>
                <w:b w:val="0"/>
                <w:sz w:val="17"/>
              </w:rPr>
              <w:t>Supabase/PostgreSQL</w:t>
            </w:r>
          </w:p>
        </w:tc>
        <w:tc>
          <w:tcPr>
            <w:tcW w:type="dxa" w:w="2376"/>
            <w:vAlign w:val="center"/>
          </w:tcPr>
          <w:p>
            <w:r/>
            <w:r>
              <w:rPr>
                <w:b w:val="0"/>
                <w:sz w:val="17"/>
              </w:rPr>
              <w:t>Production database exists and is connected/configured; credential exposure occurred historically and must be treated as compromised.</w:t>
            </w:r>
          </w:p>
        </w:tc>
        <w:tc>
          <w:tcPr>
            <w:tcW w:type="dxa" w:w="3024"/>
            <w:vAlign w:val="center"/>
          </w:tcPr>
          <w:p>
            <w:r/>
            <w:r>
              <w:rPr>
                <w:b w:val="0"/>
                <w:sz w:val="17"/>
              </w:rPr>
              <w:t>Use controlled development/staging configuration; never paste secrets into chat.</w:t>
            </w:r>
          </w:p>
        </w:tc>
        <w:tc>
          <w:tcPr>
            <w:tcW w:type="dxa" w:w="2232"/>
            <w:vAlign w:val="center"/>
          </w:tcPr>
          <w:p>
            <w:r/>
            <w:r>
              <w:rPr>
                <w:b w:val="0"/>
                <w:sz w:val="17"/>
              </w:rPr>
              <w:t>Client-owned DB credentials per deployment; can be Supabase or another PostgreSQL provider.</w:t>
            </w:r>
          </w:p>
        </w:tc>
      </w:tr>
      <w:tr>
        <w:tc>
          <w:tcPr>
            <w:tcW w:type="dxa" w:w="1800"/>
            <w:vAlign w:val="center"/>
          </w:tcPr>
          <w:p>
            <w:r/>
            <w:r>
              <w:rPr>
                <w:b w:val="0"/>
                <w:sz w:val="17"/>
              </w:rPr>
              <w:t>Vercel</w:t>
            </w:r>
          </w:p>
        </w:tc>
        <w:tc>
          <w:tcPr>
            <w:tcW w:type="dxa" w:w="2376"/>
            <w:vAlign w:val="center"/>
          </w:tcPr>
          <w:p>
            <w:r/>
            <w:r>
              <w:rPr>
                <w:b w:val="0"/>
                <w:sz w:val="17"/>
              </w:rPr>
              <w:t>Current development/application hosting is available.</w:t>
            </w:r>
          </w:p>
        </w:tc>
        <w:tc>
          <w:tcPr>
            <w:tcW w:type="dxa" w:w="3024"/>
            <w:vAlign w:val="center"/>
          </w:tcPr>
          <w:p>
            <w:r/>
            <w:r>
              <w:rPr>
                <w:b w:val="0"/>
                <w:sz w:val="17"/>
              </w:rPr>
              <w:t>Continue development and validation here.</w:t>
            </w:r>
          </w:p>
        </w:tc>
        <w:tc>
          <w:tcPr>
            <w:tcW w:type="dxa" w:w="2232"/>
            <w:vAlign w:val="center"/>
          </w:tcPr>
          <w:p>
            <w:r/>
            <w:r>
              <w:rPr>
                <w:b w:val="0"/>
                <w:sz w:val="17"/>
              </w:rPr>
              <w:t>Client may remain on Vercel or move to another compatible host.</w:t>
            </w:r>
          </w:p>
        </w:tc>
      </w:tr>
      <w:tr>
        <w:tc>
          <w:tcPr>
            <w:tcW w:type="dxa" w:w="1800"/>
            <w:vAlign w:val="center"/>
          </w:tcPr>
          <w:p>
            <w:r/>
            <w:r>
              <w:rPr>
                <w:b w:val="0"/>
                <w:sz w:val="17"/>
              </w:rPr>
              <w:t>Clerk</w:t>
            </w:r>
          </w:p>
        </w:tc>
        <w:tc>
          <w:tcPr>
            <w:tcW w:type="dxa" w:w="2376"/>
            <w:vAlign w:val="center"/>
          </w:tcPr>
          <w:p>
            <w:r/>
            <w:r>
              <w:rPr>
                <w:b w:val="0"/>
                <w:sz w:val="17"/>
              </w:rPr>
              <w:t>Clerk architecture exists; provider credentials/configuration must be explicitly validated per deployment.</w:t>
            </w:r>
          </w:p>
        </w:tc>
        <w:tc>
          <w:tcPr>
            <w:tcW w:type="dxa" w:w="3024"/>
            <w:vAlign w:val="center"/>
          </w:tcPr>
          <w:p>
            <w:r/>
            <w:r>
              <w:rPr>
                <w:b w:val="0"/>
                <w:sz w:val="17"/>
              </w:rPr>
              <w:t>Use valid development/test credentials where available; controlled boot behavior when optional config is absent.</w:t>
            </w:r>
          </w:p>
        </w:tc>
        <w:tc>
          <w:tcPr>
            <w:tcW w:type="dxa" w:w="2232"/>
            <w:vAlign w:val="center"/>
          </w:tcPr>
          <w:p>
            <w:r/>
            <w:r>
              <w:rPr>
                <w:b w:val="0"/>
                <w:sz w:val="17"/>
              </w:rPr>
              <w:t>Client provides their Clerk configuration/domain/keys.</w:t>
            </w:r>
          </w:p>
        </w:tc>
      </w:tr>
      <w:tr>
        <w:tc>
          <w:tcPr>
            <w:tcW w:type="dxa" w:w="1800"/>
            <w:vAlign w:val="center"/>
          </w:tcPr>
          <w:p>
            <w:r/>
            <w:r>
              <w:rPr>
                <w:b w:val="0"/>
                <w:sz w:val="17"/>
              </w:rPr>
              <w:t>Redis</w:t>
            </w:r>
          </w:p>
        </w:tc>
        <w:tc>
          <w:tcPr>
            <w:tcW w:type="dxa" w:w="2376"/>
            <w:vAlign w:val="center"/>
          </w:tcPr>
          <w:p>
            <w:r/>
            <w:r>
              <w:rPr>
                <w:b w:val="0"/>
                <w:sz w:val="17"/>
              </w:rPr>
              <w:t>Architecture expects Redis-compatible infrastructure.</w:t>
            </w:r>
          </w:p>
        </w:tc>
        <w:tc>
          <w:tcPr>
            <w:tcW w:type="dxa" w:w="3024"/>
            <w:vAlign w:val="center"/>
          </w:tcPr>
          <w:p>
            <w:r/>
            <w:r>
              <w:rPr>
                <w:b w:val="0"/>
                <w:sz w:val="17"/>
              </w:rPr>
              <w:t>Use development/test Redis or explicit demo/test adapter where repository supports it.</w:t>
            </w:r>
          </w:p>
        </w:tc>
        <w:tc>
          <w:tcPr>
            <w:tcW w:type="dxa" w:w="2232"/>
            <w:vAlign w:val="center"/>
          </w:tcPr>
          <w:p>
            <w:r/>
            <w:r>
              <w:rPr>
                <w:b w:val="0"/>
                <w:sz w:val="17"/>
              </w:rPr>
              <w:t>Client-specific Redis/managed Redis.</w:t>
            </w:r>
          </w:p>
        </w:tc>
      </w:tr>
      <w:tr>
        <w:tc>
          <w:tcPr>
            <w:tcW w:type="dxa" w:w="1800"/>
            <w:vAlign w:val="center"/>
          </w:tcPr>
          <w:p>
            <w:r/>
            <w:r>
              <w:rPr>
                <w:b w:val="0"/>
                <w:sz w:val="17"/>
              </w:rPr>
              <w:t>Object storage / S3</w:t>
            </w:r>
          </w:p>
        </w:tc>
        <w:tc>
          <w:tcPr>
            <w:tcW w:type="dxa" w:w="2376"/>
            <w:vAlign w:val="center"/>
          </w:tcPr>
          <w:p>
            <w:r/>
            <w:r>
              <w:rPr>
                <w:b w:val="0"/>
                <w:sz w:val="17"/>
              </w:rPr>
              <w:t>Provider abstraction is part of the architecture; production credentials may be unavailable.</w:t>
            </w:r>
          </w:p>
        </w:tc>
        <w:tc>
          <w:tcPr>
            <w:tcW w:type="dxa" w:w="3024"/>
            <w:vAlign w:val="center"/>
          </w:tcPr>
          <w:p>
            <w:r/>
            <w:r>
              <w:rPr>
                <w:b w:val="0"/>
                <w:sz w:val="17"/>
              </w:rPr>
              <w:t>Use explicit demo/test storage only where the repository provides it; otherwise jobs must safely block/degrade.</w:t>
            </w:r>
          </w:p>
        </w:tc>
        <w:tc>
          <w:tcPr>
            <w:tcW w:type="dxa" w:w="2232"/>
            <w:vAlign w:val="center"/>
          </w:tcPr>
          <w:p>
            <w:r/>
            <w:r>
              <w:rPr>
                <w:b w:val="0"/>
                <w:sz w:val="17"/>
              </w:rPr>
              <w:t>Client provides S3/R2/etc. credentials; critical ingestion must not fake success.</w:t>
            </w:r>
          </w:p>
        </w:tc>
      </w:tr>
      <w:tr>
        <w:tc>
          <w:tcPr>
            <w:tcW w:type="dxa" w:w="1800"/>
            <w:vAlign w:val="center"/>
          </w:tcPr>
          <w:p>
            <w:r/>
            <w:r>
              <w:rPr>
                <w:b w:val="0"/>
                <w:sz w:val="17"/>
              </w:rPr>
              <w:t>Twilio / telephony / SMS</w:t>
            </w:r>
          </w:p>
        </w:tc>
        <w:tc>
          <w:tcPr>
            <w:tcW w:type="dxa" w:w="2376"/>
            <w:vAlign w:val="center"/>
          </w:tcPr>
          <w:p>
            <w:r/>
            <w:r>
              <w:rPr>
                <w:b w:val="0"/>
                <w:sz w:val="17"/>
              </w:rPr>
              <w:t>Integration/architecture exists, but production credentials are not assumed available.</w:t>
            </w:r>
          </w:p>
        </w:tc>
        <w:tc>
          <w:tcPr>
            <w:tcW w:type="dxa" w:w="3024"/>
            <w:vAlign w:val="center"/>
          </w:tcPr>
          <w:p>
            <w:r/>
            <w:r>
              <w:rPr>
                <w:b w:val="0"/>
                <w:sz w:val="17"/>
              </w:rPr>
              <w:t>Use explicit Demo Provider for development if implemented; otherwise feature reports unavailable rather than pretending a real call/SMS happened.</w:t>
            </w:r>
          </w:p>
        </w:tc>
        <w:tc>
          <w:tcPr>
            <w:tcW w:type="dxa" w:w="2232"/>
            <w:vAlign w:val="center"/>
          </w:tcPr>
          <w:p>
            <w:r/>
            <w:r>
              <w:rPr>
                <w:b w:val="0"/>
                <w:sz w:val="17"/>
              </w:rPr>
              <w:t>Client supplies Twilio/Exotel/etc. account and credentials.</w:t>
            </w:r>
          </w:p>
        </w:tc>
      </w:tr>
      <w:tr>
        <w:tc>
          <w:tcPr>
            <w:tcW w:type="dxa" w:w="1800"/>
            <w:vAlign w:val="center"/>
          </w:tcPr>
          <w:p>
            <w:r/>
            <w:r>
              <w:rPr>
                <w:b w:val="0"/>
                <w:sz w:val="17"/>
              </w:rPr>
              <w:t>Email / Resend</w:t>
            </w:r>
          </w:p>
        </w:tc>
        <w:tc>
          <w:tcPr>
            <w:tcW w:type="dxa" w:w="2376"/>
            <w:vAlign w:val="center"/>
          </w:tcPr>
          <w:p>
            <w:r/>
            <w:r>
              <w:rPr>
                <w:b w:val="0"/>
                <w:sz w:val="17"/>
              </w:rPr>
              <w:t>Email provider architecture exists; client sender domain/credential may be unavailable.</w:t>
            </w:r>
          </w:p>
        </w:tc>
        <w:tc>
          <w:tcPr>
            <w:tcW w:type="dxa" w:w="3024"/>
            <w:vAlign w:val="center"/>
          </w:tcPr>
          <w:p>
            <w:r/>
            <w:r>
              <w:rPr>
                <w:b w:val="0"/>
                <w:sz w:val="17"/>
              </w:rPr>
              <w:t>Use explicit DemoEmailProvider/demo transport for development where supported.</w:t>
            </w:r>
          </w:p>
        </w:tc>
        <w:tc>
          <w:tcPr>
            <w:tcW w:type="dxa" w:w="2232"/>
            <w:vAlign w:val="center"/>
          </w:tcPr>
          <w:p>
            <w:r/>
            <w:r>
              <w:rPr>
                <w:b w:val="0"/>
                <w:sz w:val="17"/>
              </w:rPr>
              <w:t>Client supplies provider credential, verified sender domain and sender address.</w:t>
            </w:r>
          </w:p>
        </w:tc>
      </w:tr>
      <w:tr>
        <w:tc>
          <w:tcPr>
            <w:tcW w:type="dxa" w:w="1800"/>
            <w:vAlign w:val="center"/>
          </w:tcPr>
          <w:p>
            <w:r/>
            <w:r>
              <w:rPr>
                <w:b w:val="0"/>
                <w:sz w:val="17"/>
              </w:rPr>
              <w:t>AI — Gemini/OpenAI/Anthropic</w:t>
            </w:r>
          </w:p>
        </w:tc>
        <w:tc>
          <w:tcPr>
            <w:tcW w:type="dxa" w:w="2376"/>
            <w:vAlign w:val="center"/>
          </w:tcPr>
          <w:p>
            <w:r/>
            <w:r>
              <w:rPr>
                <w:b w:val="0"/>
                <w:sz w:val="17"/>
              </w:rPr>
              <w:t>AI architecture exists; real production provider credentials may be unavailable.</w:t>
            </w:r>
          </w:p>
        </w:tc>
        <w:tc>
          <w:tcPr>
            <w:tcW w:type="dxa" w:w="3024"/>
            <w:vAlign w:val="center"/>
          </w:tcPr>
          <w:p>
            <w:r/>
            <w:r>
              <w:rPr>
                <w:b w:val="0"/>
                <w:sz w:val="17"/>
              </w:rPr>
              <w:t>Use explicit demo/test AI provider for development if supported; never label demo output as real AI inference.</w:t>
            </w:r>
          </w:p>
        </w:tc>
        <w:tc>
          <w:tcPr>
            <w:tcW w:type="dxa" w:w="2232"/>
            <w:vAlign w:val="center"/>
          </w:tcPr>
          <w:p>
            <w:r/>
            <w:r>
              <w:rPr>
                <w:b w:val="0"/>
                <w:sz w:val="17"/>
              </w:rPr>
              <w:t>Client supplies chosen AI provider credentials/model configuration.</w:t>
            </w:r>
          </w:p>
        </w:tc>
      </w:tr>
      <w:tr>
        <w:tc>
          <w:tcPr>
            <w:tcW w:type="dxa" w:w="1800"/>
            <w:vAlign w:val="center"/>
          </w:tcPr>
          <w:p>
            <w:r/>
            <w:r>
              <w:rPr>
                <w:b w:val="0"/>
                <w:sz w:val="17"/>
              </w:rPr>
              <w:t>Managed realtime</w:t>
            </w:r>
          </w:p>
        </w:tc>
        <w:tc>
          <w:tcPr>
            <w:tcW w:type="dxa" w:w="2376"/>
            <w:vAlign w:val="center"/>
          </w:tcPr>
          <w:p>
            <w:r/>
            <w:r>
              <w:rPr>
                <w:b w:val="0"/>
                <w:sz w:val="17"/>
              </w:rPr>
              <w:t>Provider not yet treated as finally certified; Pusher/Supabase Realtime/Ably considered.</w:t>
            </w:r>
          </w:p>
        </w:tc>
        <w:tc>
          <w:tcPr>
            <w:tcW w:type="dxa" w:w="3024"/>
            <w:vAlign w:val="center"/>
          </w:tcPr>
          <w:p>
            <w:r/>
            <w:r>
              <w:rPr>
                <w:b w:val="0"/>
                <w:sz w:val="17"/>
              </w:rPr>
              <w:t>Use demo/local test behavior or a real development provider where available, behind same interface.</w:t>
            </w:r>
          </w:p>
        </w:tc>
        <w:tc>
          <w:tcPr>
            <w:tcW w:type="dxa" w:w="2232"/>
            <w:vAlign w:val="center"/>
          </w:tcPr>
          <w:p>
            <w:r/>
            <w:r>
              <w:rPr>
                <w:b w:val="0"/>
                <w:sz w:val="17"/>
              </w:rPr>
              <w:t>Client deployment chooses and configures supported managed provider.</w:t>
            </w:r>
          </w:p>
        </w:tc>
      </w:tr>
      <w:tr>
        <w:tc>
          <w:tcPr>
            <w:tcW w:type="dxa" w:w="1800"/>
            <w:vAlign w:val="center"/>
          </w:tcPr>
          <w:p>
            <w:r/>
            <w:r>
              <w:rPr>
                <w:b w:val="0"/>
                <w:sz w:val="17"/>
              </w:rPr>
              <w:t>MediaMTX/CCTV node</w:t>
            </w:r>
          </w:p>
        </w:tc>
        <w:tc>
          <w:tcPr>
            <w:tcW w:type="dxa" w:w="2376"/>
            <w:vAlign w:val="center"/>
          </w:tcPr>
          <w:p>
            <w:r/>
            <w:r>
              <w:rPr>
                <w:b w:val="0"/>
                <w:sz w:val="17"/>
              </w:rPr>
              <w:t>Real external infrastructure is required for true CCTV E2E.</w:t>
            </w:r>
          </w:p>
        </w:tc>
        <w:tc>
          <w:tcPr>
            <w:tcW w:type="dxa" w:w="3024"/>
            <w:vAlign w:val="center"/>
          </w:tcPr>
          <w:p>
            <w:r/>
            <w:r>
              <w:rPr>
                <w:b w:val="0"/>
                <w:sz w:val="17"/>
              </w:rPr>
              <w:t>Use a controlled demo CCTV path or local/test MediaMTX environment for development; do not call simulated CSS a real camera stream.</w:t>
            </w:r>
          </w:p>
        </w:tc>
        <w:tc>
          <w:tcPr>
            <w:tcW w:type="dxa" w:w="2232"/>
            <w:vAlign w:val="center"/>
          </w:tcPr>
          <w:p>
            <w:r/>
            <w:r>
              <w:rPr>
                <w:b w:val="0"/>
                <w:sz w:val="17"/>
              </w:rPr>
              <w:t>Client supplies/hosts MediaMTX and persistent worker/node infrastructure.</w:t>
            </w:r>
          </w:p>
        </w:tc>
      </w:tr>
      <w:tr>
        <w:tc>
          <w:tcPr>
            <w:tcW w:type="dxa" w:w="1800"/>
            <w:vAlign w:val="center"/>
          </w:tcPr>
          <w:p>
            <w:r/>
            <w:r>
              <w:rPr>
                <w:b w:val="0"/>
                <w:sz w:val="17"/>
              </w:rPr>
              <w:t>Monitoring/backup</w:t>
            </w:r>
          </w:p>
        </w:tc>
        <w:tc>
          <w:tcPr>
            <w:tcW w:type="dxa" w:w="2376"/>
            <w:vAlign w:val="center"/>
          </w:tcPr>
          <w:p>
            <w:r/>
            <w:r>
              <w:rPr>
                <w:b w:val="0"/>
                <w:sz w:val="17"/>
              </w:rPr>
              <w:t>Final client-specific stack not yet fixed.</w:t>
            </w:r>
          </w:p>
        </w:tc>
        <w:tc>
          <w:tcPr>
            <w:tcW w:type="dxa" w:w="3024"/>
            <w:vAlign w:val="center"/>
          </w:tcPr>
          <w:p>
            <w:r/>
            <w:r>
              <w:rPr>
                <w:b w:val="0"/>
                <w:sz w:val="17"/>
              </w:rPr>
              <w:t>Use development observability/test instrumentation.</w:t>
            </w:r>
          </w:p>
        </w:tc>
        <w:tc>
          <w:tcPr>
            <w:tcW w:type="dxa" w:w="2232"/>
            <w:vAlign w:val="center"/>
          </w:tcPr>
          <w:p>
            <w:r/>
            <w:r>
              <w:rPr>
                <w:b w:val="0"/>
                <w:sz w:val="17"/>
              </w:rPr>
              <w:t>Client selects monitoring, backup/PITR and operational tooling.</w:t>
            </w:r>
          </w:p>
        </w:tc>
      </w:tr>
    </w:tbl>
    <w:p/>
    <w:p>
      <w:pPr>
        <w:pStyle w:val="Heading1"/>
      </w:pPr>
      <w:r>
        <w:t>8. Missing Credentials Policy — Explicit Demo Mode</w:t>
      </w:r>
    </w:p>
    <w:p>
      <w:pPr>
        <w:spacing w:after="100"/>
      </w:pPr>
      <w:r>
        <w:t>The intended interpretation for development is now clear: if a provider credential is not available, the project should still be made as functionally complete as possible by using an explicit Demo/Test Provider behind the same interface. The application should not be forced to wait for a future customer's credentials.</w:t>
      </w:r>
    </w:p>
    <w:p>
      <w:pPr>
        <w:spacing w:after="100"/>
      </w:pPr>
      <w:r>
        <w:t>This is different from secretly returning fake production results. Demo mode must be explicit, environment-controlled, visible in provider health/state, and impossible to accidentally activate as the production provider path.</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b/>
                <w:sz w:val="17"/>
              </w:rPr>
              <w:t>Scenario</w:t>
            </w:r>
          </w:p>
        </w:tc>
        <w:tc>
          <w:tcPr>
            <w:tcW w:type="dxa" w:w="5976"/>
            <w:vAlign w:val="center"/>
            <w:shd w:fill="D9EAF7"/>
          </w:tcPr>
          <w:p>
            <w:r/>
            <w:r>
              <w:rPr>
                <w:b/>
                <w:sz w:val="17"/>
              </w:rPr>
              <w:t>Required behavior</w:t>
            </w:r>
          </w:p>
        </w:tc>
      </w:tr>
      <w:tr>
        <w:tc>
          <w:tcPr>
            <w:tcW w:type="dxa" w:w="3456"/>
            <w:vAlign w:val="center"/>
          </w:tcPr>
          <w:p>
            <w:r/>
            <w:r>
              <w:rPr>
                <w:b w:val="0"/>
                <w:sz w:val="17"/>
              </w:rPr>
              <w:t>Credential available and valid</w:t>
            </w:r>
          </w:p>
        </w:tc>
        <w:tc>
          <w:tcPr>
            <w:tcW w:type="dxa" w:w="5976"/>
            <w:vAlign w:val="center"/>
          </w:tcPr>
          <w:p>
            <w:r/>
            <w:r>
              <w:rPr>
                <w:b w:val="0"/>
                <w:sz w:val="17"/>
              </w:rPr>
              <w:t>Use the real provider.</w:t>
            </w:r>
          </w:p>
        </w:tc>
      </w:tr>
      <w:tr>
        <w:tc>
          <w:tcPr>
            <w:tcW w:type="dxa" w:w="3456"/>
            <w:vAlign w:val="center"/>
          </w:tcPr>
          <w:p>
            <w:r/>
            <w:r>
              <w:rPr>
                <w:b w:val="0"/>
                <w:sz w:val="17"/>
              </w:rPr>
              <w:t>Credential missing for optional/degraded capability</w:t>
            </w:r>
          </w:p>
        </w:tc>
        <w:tc>
          <w:tcPr>
            <w:tcW w:type="dxa" w:w="5976"/>
            <w:vAlign w:val="center"/>
          </w:tcPr>
          <w:p>
            <w:r/>
            <w:r>
              <w:rPr>
                <w:b w:val="0"/>
                <w:sz w:val="17"/>
              </w:rPr>
              <w:t>Use explicit demo/test provider during development if supported; otherwise show capability as unavailable/degraded.</w:t>
            </w:r>
          </w:p>
        </w:tc>
      </w:tr>
      <w:tr>
        <w:tc>
          <w:tcPr>
            <w:tcW w:type="dxa" w:w="3456"/>
            <w:vAlign w:val="center"/>
          </w:tcPr>
          <w:p>
            <w:r/>
            <w:r>
              <w:rPr>
                <w:b w:val="0"/>
                <w:sz w:val="17"/>
              </w:rPr>
              <w:t>Credential missing for critical infrastructure</w:t>
            </w:r>
          </w:p>
        </w:tc>
        <w:tc>
          <w:tcPr>
            <w:tcW w:type="dxa" w:w="5976"/>
            <w:vAlign w:val="center"/>
          </w:tcPr>
          <w:p>
            <w:r/>
            <w:r>
              <w:rPr>
                <w:b w:val="0"/>
                <w:sz w:val="17"/>
              </w:rPr>
              <w:t>Do not fake success. Block/retry/quarantine affected jobs safely.</w:t>
            </w:r>
          </w:p>
        </w:tc>
      </w:tr>
      <w:tr>
        <w:tc>
          <w:tcPr>
            <w:tcW w:type="dxa" w:w="3456"/>
            <w:vAlign w:val="center"/>
          </w:tcPr>
          <w:p>
            <w:r/>
            <w:r>
              <w:rPr>
                <w:b w:val="0"/>
                <w:sz w:val="17"/>
              </w:rPr>
              <w:t>Provider misconfigured</w:t>
            </w:r>
          </w:p>
        </w:tc>
        <w:tc>
          <w:tcPr>
            <w:tcW w:type="dxa" w:w="5976"/>
            <w:vAlign w:val="center"/>
          </w:tcPr>
          <w:p>
            <w:r/>
            <w:r>
              <w:rPr>
                <w:b w:val="0"/>
                <w:sz w:val="17"/>
              </w:rPr>
              <w:t>Report MISCONFIGURED and fail deterministically; do not silently switch to fake production behavior.</w:t>
            </w:r>
          </w:p>
        </w:tc>
      </w:tr>
      <w:tr>
        <w:tc>
          <w:tcPr>
            <w:tcW w:type="dxa" w:w="3456"/>
            <w:vAlign w:val="center"/>
          </w:tcPr>
          <w:p>
            <w:r/>
            <w:r>
              <w:rPr>
                <w:b w:val="0"/>
                <w:sz w:val="17"/>
              </w:rPr>
              <w:t>Provider temporarily unavailable</w:t>
            </w:r>
          </w:p>
        </w:tc>
        <w:tc>
          <w:tcPr>
            <w:tcW w:type="dxa" w:w="5976"/>
            <w:vAlign w:val="center"/>
          </w:tcPr>
          <w:p>
            <w:r/>
            <w:r>
              <w:rPr>
                <w:b w:val="0"/>
                <w:sz w:val="17"/>
              </w:rPr>
              <w:t>Report UNAVAILABLE and use bounded retries/degradation according to capability.</w:t>
            </w:r>
          </w:p>
        </w:tc>
      </w:tr>
      <w:tr>
        <w:tc>
          <w:tcPr>
            <w:tcW w:type="dxa" w:w="3456"/>
            <w:vAlign w:val="center"/>
          </w:tcPr>
          <w:p>
            <w:r/>
            <w:r>
              <w:rPr>
                <w:b w:val="0"/>
                <w:sz w:val="17"/>
              </w:rPr>
              <w:t>Production deployment</w:t>
            </w:r>
          </w:p>
        </w:tc>
        <w:tc>
          <w:tcPr>
            <w:tcW w:type="dxa" w:w="5976"/>
            <w:vAlign w:val="center"/>
          </w:tcPr>
          <w:p>
            <w:r/>
            <w:r>
              <w:rPr>
                <w:b w:val="0"/>
                <w:sz w:val="17"/>
              </w:rPr>
              <w:t>Demo provider must be disabled unless the client explicitly purchased/approved a demo-only deployment.</w:t>
            </w:r>
          </w:p>
        </w:tc>
      </w:tr>
      <w:tr>
        <w:tc>
          <w:tcPr>
            <w:tcW w:type="dxa" w:w="3456"/>
            <w:vAlign w:val="center"/>
          </w:tcPr>
          <w:p>
            <w:r/>
            <w:r>
              <w:rPr>
                <w:b w:val="0"/>
                <w:sz w:val="17"/>
              </w:rPr>
              <w:t>Client gives .env later</w:t>
            </w:r>
          </w:p>
        </w:tc>
        <w:tc>
          <w:tcPr>
            <w:tcW w:type="dxa" w:w="5976"/>
            <w:vAlign w:val="center"/>
          </w:tcPr>
          <w:p>
            <w:r/>
            <w:r>
              <w:rPr>
                <w:b w:val="0"/>
                <w:sz w:val="17"/>
              </w:rPr>
              <w:t>Replace provider configuration/secrets; business services/UI should remain unchanged because they consume the provider interface.</w:t>
            </w:r>
          </w:p>
        </w:tc>
      </w:tr>
    </w:tbl>
    <w:p/>
    <w:p>
      <w:pPr>
        <w:spacing w:after="100"/>
      </w:pPr>
      <w:r>
        <w:t>Critical example: object storage is not just an optional UI integration for CCTV ingestion. If storage is unavailable, the worker must not claim successful durable storage and must never delete the local recording simply because an upload was attempted. The invariant is upload success → integrity verification → durable DB state → only then local deletion. fileciteturn205file6</w:t>
      </w:r>
    </w:p>
    <w:p>
      <w:pPr>
        <w:spacing w:after="100"/>
      </w:pPr>
      <w:r>
        <w:t>AI has a different criticality: if Gemini or another AI provider is absent, an AI job may be explicitly skipped/failed with a deterministic reason such as MISSING_CREDENTIALS. It must not silently generate a fake 'AI detected person/fire/etc.' result and present it as real production inference. fileciteturn205file1</w:t>
      </w:r>
    </w:p>
    <w:p>
      <w:pPr>
        <w:pStyle w:val="Heading1"/>
      </w:pPr>
      <w:r>
        <w:t>9. Demo Provider Architecture</w:t>
      </w:r>
    </w:p>
    <w:p>
      <w:pPr>
        <w:spacing w:after="100"/>
      </w:pPr>
      <w:r>
        <w:t>The provider abstraction should be treated as a first-class product capability:</w:t>
      </w:r>
    </w:p>
    <w:p>
      <w:pPr>
        <w:spacing w:after="100"/>
      </w:pPr>
      <w:r>
        <w:t>Business Service → Provider Interface → Real Provider OR Demo/Test Provider</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D9EAF7"/>
          </w:tcPr>
          <w:p>
            <w:r/>
            <w:r>
              <w:rPr>
                <w:b/>
                <w:sz w:val="17"/>
              </w:rPr>
              <w:t>Capability</w:t>
            </w:r>
          </w:p>
        </w:tc>
        <w:tc>
          <w:tcPr>
            <w:tcW w:type="dxa" w:w="2880"/>
            <w:vAlign w:val="center"/>
            <w:shd w:fill="D9EAF7"/>
          </w:tcPr>
          <w:p>
            <w:r/>
            <w:r>
              <w:rPr>
                <w:b/>
                <w:sz w:val="17"/>
              </w:rPr>
              <w:t>Real implementation</w:t>
            </w:r>
          </w:p>
        </w:tc>
        <w:tc>
          <w:tcPr>
            <w:tcW w:type="dxa" w:w="4896"/>
            <w:vAlign w:val="center"/>
            <w:shd w:fill="D9EAF7"/>
          </w:tcPr>
          <w:p>
            <w:r/>
            <w:r>
              <w:rPr>
                <w:b/>
                <w:sz w:val="17"/>
              </w:rPr>
              <w:t>Demo implementation should simulate</w:t>
            </w:r>
          </w:p>
        </w:tc>
      </w:tr>
      <w:tr>
        <w:tc>
          <w:tcPr>
            <w:tcW w:type="dxa" w:w="1656"/>
            <w:vAlign w:val="center"/>
          </w:tcPr>
          <w:p>
            <w:r/>
            <w:r>
              <w:rPr>
                <w:b w:val="0"/>
                <w:sz w:val="17"/>
              </w:rPr>
              <w:t>Email</w:t>
            </w:r>
          </w:p>
        </w:tc>
        <w:tc>
          <w:tcPr>
            <w:tcW w:type="dxa" w:w="2880"/>
            <w:vAlign w:val="center"/>
          </w:tcPr>
          <w:p>
            <w:r/>
            <w:r>
              <w:rPr>
                <w:b w:val="0"/>
                <w:sz w:val="17"/>
              </w:rPr>
              <w:t>Resend/other selected provider</w:t>
            </w:r>
          </w:p>
        </w:tc>
        <w:tc>
          <w:tcPr>
            <w:tcW w:type="dxa" w:w="4896"/>
            <w:vAlign w:val="center"/>
          </w:tcPr>
          <w:p>
            <w:r/>
            <w:r>
              <w:rPr>
                <w:b w:val="0"/>
                <w:sz w:val="17"/>
              </w:rPr>
              <w:t>Message creation, validation, queued/sent status, deterministic delivery result and audit trail; no external delivery required.</w:t>
            </w:r>
          </w:p>
        </w:tc>
      </w:tr>
      <w:tr>
        <w:tc>
          <w:tcPr>
            <w:tcW w:type="dxa" w:w="1656"/>
            <w:vAlign w:val="center"/>
          </w:tcPr>
          <w:p>
            <w:r/>
            <w:r>
              <w:rPr>
                <w:b w:val="0"/>
                <w:sz w:val="17"/>
              </w:rPr>
              <w:t>SMS</w:t>
            </w:r>
          </w:p>
        </w:tc>
        <w:tc>
          <w:tcPr>
            <w:tcW w:type="dxa" w:w="2880"/>
            <w:vAlign w:val="center"/>
          </w:tcPr>
          <w:p>
            <w:r/>
            <w:r>
              <w:rPr>
                <w:b w:val="0"/>
                <w:sz w:val="17"/>
              </w:rPr>
              <w:t>Twilio/other selected provider</w:t>
            </w:r>
          </w:p>
        </w:tc>
        <w:tc>
          <w:tcPr>
            <w:tcW w:type="dxa" w:w="4896"/>
            <w:vAlign w:val="center"/>
          </w:tcPr>
          <w:p>
            <w:r/>
            <w:r>
              <w:rPr>
                <w:b w:val="0"/>
                <w:sz w:val="17"/>
              </w:rPr>
              <w:t>Message lifecycle, recipient validation and delivery-state simulation.</w:t>
            </w:r>
          </w:p>
        </w:tc>
      </w:tr>
      <w:tr>
        <w:tc>
          <w:tcPr>
            <w:tcW w:type="dxa" w:w="1656"/>
            <w:vAlign w:val="center"/>
          </w:tcPr>
          <w:p>
            <w:r/>
            <w:r>
              <w:rPr>
                <w:b w:val="0"/>
                <w:sz w:val="17"/>
              </w:rPr>
              <w:t>Calling</w:t>
            </w:r>
          </w:p>
        </w:tc>
        <w:tc>
          <w:tcPr>
            <w:tcW w:type="dxa" w:w="2880"/>
            <w:vAlign w:val="center"/>
          </w:tcPr>
          <w:p>
            <w:r/>
            <w:r>
              <w:rPr>
                <w:b w:val="0"/>
                <w:sz w:val="17"/>
              </w:rPr>
              <w:t>Twilio/Exotel/etc.</w:t>
            </w:r>
          </w:p>
        </w:tc>
        <w:tc>
          <w:tcPr>
            <w:tcW w:type="dxa" w:w="4896"/>
            <w:vAlign w:val="center"/>
          </w:tcPr>
          <w:p>
            <w:r/>
            <w:r>
              <w:rPr>
                <w:b w:val="0"/>
                <w:sz w:val="17"/>
              </w:rPr>
              <w:t>Call initiation/termination lifecycle, call record and deterministic demo call state.</w:t>
            </w:r>
          </w:p>
        </w:tc>
      </w:tr>
      <w:tr>
        <w:tc>
          <w:tcPr>
            <w:tcW w:type="dxa" w:w="1656"/>
            <w:vAlign w:val="center"/>
          </w:tcPr>
          <w:p>
            <w:r/>
            <w:r>
              <w:rPr>
                <w:b w:val="0"/>
                <w:sz w:val="17"/>
              </w:rPr>
              <w:t>AI</w:t>
            </w:r>
          </w:p>
        </w:tc>
        <w:tc>
          <w:tcPr>
            <w:tcW w:type="dxa" w:w="2880"/>
            <w:vAlign w:val="center"/>
          </w:tcPr>
          <w:p>
            <w:r/>
            <w:r>
              <w:rPr>
                <w:b w:val="0"/>
                <w:sz w:val="17"/>
              </w:rPr>
              <w:t>Gemini/OpenAI/Anthropic/etc.</w:t>
            </w:r>
          </w:p>
        </w:tc>
        <w:tc>
          <w:tcPr>
            <w:tcW w:type="dxa" w:w="4896"/>
            <w:vAlign w:val="center"/>
          </w:tcPr>
          <w:p>
            <w:r/>
            <w:r>
              <w:rPr>
                <w:b w:val="0"/>
                <w:sz w:val="17"/>
              </w:rPr>
              <w:t>Structured deterministic analysis responses using the same result contract; clearly marked DEMO.</w:t>
            </w:r>
          </w:p>
        </w:tc>
      </w:tr>
      <w:tr>
        <w:tc>
          <w:tcPr>
            <w:tcW w:type="dxa" w:w="1656"/>
            <w:vAlign w:val="center"/>
          </w:tcPr>
          <w:p>
            <w:r/>
            <w:r>
              <w:rPr>
                <w:b w:val="0"/>
                <w:sz w:val="17"/>
              </w:rPr>
              <w:t>Realtime</w:t>
            </w:r>
          </w:p>
        </w:tc>
        <w:tc>
          <w:tcPr>
            <w:tcW w:type="dxa" w:w="2880"/>
            <w:vAlign w:val="center"/>
          </w:tcPr>
          <w:p>
            <w:r/>
            <w:r>
              <w:rPr>
                <w:b w:val="0"/>
                <w:sz w:val="17"/>
              </w:rPr>
              <w:t>Pusher/Supabase Realtime/Ably</w:t>
            </w:r>
          </w:p>
        </w:tc>
        <w:tc>
          <w:tcPr>
            <w:tcW w:type="dxa" w:w="4896"/>
            <w:vAlign w:val="center"/>
          </w:tcPr>
          <w:p>
            <w:r/>
            <w:r>
              <w:rPr>
                <w:b w:val="0"/>
                <w:sz w:val="17"/>
              </w:rPr>
              <w:t>Publish/subscribe lifecycle in test environment; preserve tenant/channel authorization.</w:t>
            </w:r>
          </w:p>
        </w:tc>
      </w:tr>
      <w:tr>
        <w:tc>
          <w:tcPr>
            <w:tcW w:type="dxa" w:w="1656"/>
            <w:vAlign w:val="center"/>
          </w:tcPr>
          <w:p>
            <w:r/>
            <w:r>
              <w:rPr>
                <w:b w:val="0"/>
                <w:sz w:val="17"/>
              </w:rPr>
              <w:t>Object storage</w:t>
            </w:r>
          </w:p>
        </w:tc>
        <w:tc>
          <w:tcPr>
            <w:tcW w:type="dxa" w:w="2880"/>
            <w:vAlign w:val="center"/>
          </w:tcPr>
          <w:p>
            <w:r/>
            <w:r>
              <w:rPr>
                <w:b w:val="0"/>
                <w:sz w:val="17"/>
              </w:rPr>
              <w:t>S3/R2/etc.</w:t>
            </w:r>
          </w:p>
        </w:tc>
        <w:tc>
          <w:tcPr>
            <w:tcW w:type="dxa" w:w="4896"/>
            <w:vAlign w:val="center"/>
          </w:tcPr>
          <w:p>
            <w:r/>
            <w:r>
              <w:rPr>
                <w:b w:val="0"/>
                <w:sz w:val="17"/>
              </w:rPr>
              <w:t>Local/test storage or deterministic storage adapter only where explicitly supported.</w:t>
            </w:r>
          </w:p>
        </w:tc>
      </w:tr>
      <w:tr>
        <w:tc>
          <w:tcPr>
            <w:tcW w:type="dxa" w:w="1656"/>
            <w:vAlign w:val="center"/>
          </w:tcPr>
          <w:p>
            <w:r/>
            <w:r>
              <w:rPr>
                <w:b w:val="0"/>
                <w:sz w:val="17"/>
              </w:rPr>
              <w:t>CCTV</w:t>
            </w:r>
          </w:p>
        </w:tc>
        <w:tc>
          <w:tcPr>
            <w:tcW w:type="dxa" w:w="2880"/>
            <w:vAlign w:val="center"/>
          </w:tcPr>
          <w:p>
            <w:r/>
            <w:r>
              <w:rPr>
                <w:b w:val="0"/>
                <w:sz w:val="17"/>
              </w:rPr>
              <w:t>MediaMTX</w:t>
            </w:r>
          </w:p>
        </w:tc>
        <w:tc>
          <w:tcPr>
            <w:tcW w:type="dxa" w:w="4896"/>
            <w:vAlign w:val="center"/>
          </w:tcPr>
          <w:p>
            <w:r/>
            <w:r>
              <w:rPr>
                <w:b w:val="0"/>
                <w:sz w:val="17"/>
              </w:rPr>
              <w:t>Test camera/stream fixture or controlled MediaMTX test node; never confuse CSS animation with actual camera ingestion.</w:t>
            </w:r>
          </w:p>
        </w:tc>
      </w:tr>
      <w:tr>
        <w:tc>
          <w:tcPr>
            <w:tcW w:type="dxa" w:w="1656"/>
            <w:vAlign w:val="center"/>
          </w:tcPr>
          <w:p>
            <w:r/>
            <w:r>
              <w:rPr>
                <w:b w:val="0"/>
                <w:sz w:val="17"/>
              </w:rPr>
              <w:t>External integrations</w:t>
            </w:r>
          </w:p>
        </w:tc>
        <w:tc>
          <w:tcPr>
            <w:tcW w:type="dxa" w:w="2880"/>
            <w:vAlign w:val="center"/>
          </w:tcPr>
          <w:p>
            <w:r/>
            <w:r>
              <w:rPr>
                <w:b w:val="0"/>
                <w:sz w:val="17"/>
              </w:rPr>
              <w:t>Client-specific APIs</w:t>
            </w:r>
          </w:p>
        </w:tc>
        <w:tc>
          <w:tcPr>
            <w:tcW w:type="dxa" w:w="4896"/>
            <w:vAlign w:val="center"/>
          </w:tcPr>
          <w:p>
            <w:r/>
            <w:r>
              <w:rPr>
                <w:b w:val="0"/>
                <w:sz w:val="17"/>
              </w:rPr>
              <w:t>Mock/test adapter returning contract-valid responses, explicit demo status and deterministic failures.</w:t>
            </w:r>
          </w:p>
        </w:tc>
      </w:tr>
    </w:tbl>
    <w:p/>
    <w:p>
      <w:pPr>
        <w:spacing w:after="100"/>
      </w:pPr>
      <w:r>
        <w:t>A provider interface must own provider-specific details. UI components, domain services and business workflows should not be rewritten merely because a client changes from Supabase to AWS, Twilio to another telephony provider, or one AI vendor to another.</w:t>
      </w:r>
    </w:p>
    <w:p>
      <w:pPr>
        <w:pStyle w:val="Heading1"/>
      </w:pPr>
      <w:r>
        <w:t>10. Database Portability — Supabase Today, AWS Tomorrow</w:t>
      </w:r>
    </w:p>
    <w:p>
      <w:pPr>
        <w:spacing w:after="100"/>
      </w:pPr>
      <w:r>
        <w:t>The product should not be designed as if Supabase is the product itself. Supabase is one infrastructure implementation of the PostgreSQL layer. The application should depend on PostgreSQL-compatible contracts through Prisma and a small, explicit infrastructure adapter layer.</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7"/>
              </w:rPr>
              <w:t>Portability layer</w:t>
            </w:r>
          </w:p>
        </w:tc>
        <w:tc>
          <w:tcPr>
            <w:tcW w:type="dxa" w:w="7272"/>
            <w:vAlign w:val="center"/>
            <w:shd w:fill="D9EAF7"/>
          </w:tcPr>
          <w:p>
            <w:r/>
            <w:r>
              <w:rPr>
                <w:b/>
                <w:sz w:val="17"/>
              </w:rPr>
              <w:t>Rule</w:t>
            </w:r>
          </w:p>
        </w:tc>
      </w:tr>
      <w:tr>
        <w:tc>
          <w:tcPr>
            <w:tcW w:type="dxa" w:w="2160"/>
            <w:vAlign w:val="center"/>
          </w:tcPr>
          <w:p>
            <w:r/>
            <w:r>
              <w:rPr>
                <w:b w:val="0"/>
                <w:sz w:val="17"/>
              </w:rPr>
              <w:t>ORM/domain data access</w:t>
            </w:r>
          </w:p>
        </w:tc>
        <w:tc>
          <w:tcPr>
            <w:tcW w:type="dxa" w:w="7272"/>
            <w:vAlign w:val="center"/>
          </w:tcPr>
          <w:p>
            <w:r/>
            <w:r>
              <w:rPr>
                <w:b w:val="0"/>
                <w:sz w:val="17"/>
              </w:rPr>
              <w:t>Prefer Prisma/domain services rather than vendor-specific SQL.</w:t>
            </w:r>
          </w:p>
        </w:tc>
      </w:tr>
      <w:tr>
        <w:tc>
          <w:tcPr>
            <w:tcW w:type="dxa" w:w="2160"/>
            <w:vAlign w:val="center"/>
          </w:tcPr>
          <w:p>
            <w:r/>
            <w:r>
              <w:rPr>
                <w:b w:val="0"/>
                <w:sz w:val="17"/>
              </w:rPr>
              <w:t>PostgreSQL RLS</w:t>
            </w:r>
          </w:p>
        </w:tc>
        <w:tc>
          <w:tcPr>
            <w:tcW w:type="dxa" w:w="7272"/>
            <w:vAlign w:val="center"/>
          </w:tcPr>
          <w:p>
            <w:r/>
            <w:r>
              <w:rPr>
                <w:b w:val="0"/>
                <w:sz w:val="17"/>
              </w:rPr>
              <w:t>Keep tenant/security policies as explicit migration assets; document any platform-specific role/GUC assumptions.</w:t>
            </w:r>
          </w:p>
        </w:tc>
      </w:tr>
      <w:tr>
        <w:tc>
          <w:tcPr>
            <w:tcW w:type="dxa" w:w="2160"/>
            <w:vAlign w:val="center"/>
          </w:tcPr>
          <w:p>
            <w:r/>
            <w:r>
              <w:rPr>
                <w:b w:val="0"/>
                <w:sz w:val="17"/>
              </w:rPr>
              <w:t>Extensions</w:t>
            </w:r>
          </w:p>
        </w:tc>
        <w:tc>
          <w:tcPr>
            <w:tcW w:type="dxa" w:w="7272"/>
            <w:vAlign w:val="center"/>
          </w:tcPr>
          <w:p>
            <w:r/>
            <w:r>
              <w:rPr>
                <w:b w:val="0"/>
                <w:sz w:val="17"/>
              </w:rPr>
              <w:t>Track required extensions such as pgvector explicitly; validate availability on target provider.</w:t>
            </w:r>
          </w:p>
        </w:tc>
      </w:tr>
      <w:tr>
        <w:tc>
          <w:tcPr>
            <w:tcW w:type="dxa" w:w="2160"/>
            <w:vAlign w:val="center"/>
          </w:tcPr>
          <w:p>
            <w:r/>
            <w:r>
              <w:rPr>
                <w:b w:val="0"/>
                <w:sz w:val="17"/>
              </w:rPr>
              <w:t>Roles</w:t>
            </w:r>
          </w:p>
        </w:tc>
        <w:tc>
          <w:tcPr>
            <w:tcW w:type="dxa" w:w="7272"/>
            <w:vAlign w:val="center"/>
          </w:tcPr>
          <w:p>
            <w:r/>
            <w:r>
              <w:rPr>
                <w:b w:val="0"/>
                <w:sz w:val="17"/>
              </w:rPr>
              <w:t>Document crm_app_user/crm_system_user semantics and recreate equivalent roles safely on target PostgreSQL.</w:t>
            </w:r>
          </w:p>
        </w:tc>
      </w:tr>
      <w:tr>
        <w:tc>
          <w:tcPr>
            <w:tcW w:type="dxa" w:w="2160"/>
            <w:vAlign w:val="center"/>
          </w:tcPr>
          <w:p>
            <w:r/>
            <w:r>
              <w:rPr>
                <w:b w:val="0"/>
                <w:sz w:val="17"/>
              </w:rPr>
              <w:t>Connection pooling</w:t>
            </w:r>
          </w:p>
        </w:tc>
        <w:tc>
          <w:tcPr>
            <w:tcW w:type="dxa" w:w="7272"/>
            <w:vAlign w:val="center"/>
          </w:tcPr>
          <w:p>
            <w:r/>
            <w:r>
              <w:rPr>
                <w:b w:val="0"/>
                <w:sz w:val="17"/>
              </w:rPr>
              <w:t>Do not assume Supabase pooler behavior; validate direct/pooler URLs and transaction semantics on each target.</w:t>
            </w:r>
          </w:p>
        </w:tc>
      </w:tr>
      <w:tr>
        <w:tc>
          <w:tcPr>
            <w:tcW w:type="dxa" w:w="2160"/>
            <w:vAlign w:val="center"/>
          </w:tcPr>
          <w:p>
            <w:r/>
            <w:r>
              <w:rPr>
                <w:b w:val="0"/>
                <w:sz w:val="17"/>
              </w:rPr>
              <w:t>Storage</w:t>
            </w:r>
          </w:p>
        </w:tc>
        <w:tc>
          <w:tcPr>
            <w:tcW w:type="dxa" w:w="7272"/>
            <w:vAlign w:val="center"/>
          </w:tcPr>
          <w:p>
            <w:r/>
            <w:r>
              <w:rPr>
                <w:b w:val="0"/>
                <w:sz w:val="17"/>
              </w:rPr>
              <w:t>Do not couple database records to a specific object-storage implementation.</w:t>
            </w:r>
          </w:p>
        </w:tc>
      </w:tr>
      <w:tr>
        <w:tc>
          <w:tcPr>
            <w:tcW w:type="dxa" w:w="2160"/>
            <w:vAlign w:val="center"/>
          </w:tcPr>
          <w:p>
            <w:r/>
            <w:r>
              <w:rPr>
                <w:b w:val="0"/>
                <w:sz w:val="17"/>
              </w:rPr>
              <w:t>Backups/PITR</w:t>
            </w:r>
          </w:p>
        </w:tc>
        <w:tc>
          <w:tcPr>
            <w:tcW w:type="dxa" w:w="7272"/>
            <w:vAlign w:val="center"/>
          </w:tcPr>
          <w:p>
            <w:r/>
            <w:r>
              <w:rPr>
                <w:b w:val="0"/>
                <w:sz w:val="17"/>
              </w:rPr>
              <w:t>Treat backup and recovery as deployment infrastructure, not application logic.</w:t>
            </w:r>
          </w:p>
        </w:tc>
      </w:tr>
      <w:tr>
        <w:tc>
          <w:tcPr>
            <w:tcW w:type="dxa" w:w="2160"/>
            <w:vAlign w:val="center"/>
          </w:tcPr>
          <w:p>
            <w:r/>
            <w:r>
              <w:rPr>
                <w:b w:val="0"/>
                <w:sz w:val="17"/>
              </w:rPr>
              <w:t>Migration process</w:t>
            </w:r>
          </w:p>
        </w:tc>
        <w:tc>
          <w:tcPr>
            <w:tcW w:type="dxa" w:w="7272"/>
            <w:vAlign w:val="center"/>
          </w:tcPr>
          <w:p>
            <w:r/>
            <w:r>
              <w:rPr>
                <w:b w:val="0"/>
                <w:sz w:val="17"/>
              </w:rPr>
              <w:t>Provision a fresh target database and run the canonical migration baseline before importing client data.</w:t>
            </w:r>
          </w:p>
        </w:tc>
      </w:tr>
      <w:tr>
        <w:tc>
          <w:tcPr>
            <w:tcW w:type="dxa" w:w="2160"/>
            <w:vAlign w:val="center"/>
          </w:tcPr>
          <w:p>
            <w:r/>
            <w:r>
              <w:rPr>
                <w:b w:val="0"/>
                <w:sz w:val="17"/>
              </w:rPr>
              <w:t>Provider certification</w:t>
            </w:r>
          </w:p>
        </w:tc>
        <w:tc>
          <w:tcPr>
            <w:tcW w:type="dxa" w:w="7272"/>
            <w:vAlign w:val="center"/>
          </w:tcPr>
          <w:p>
            <w:r/>
            <w:r>
              <w:rPr>
                <w:b w:val="0"/>
                <w:sz w:val="17"/>
              </w:rPr>
              <w:t>AWS/Supabase/other targets each receive a compatibility smoke test before a client handover.</w:t>
            </w:r>
          </w:p>
        </w:tc>
      </w:tr>
    </w:tbl>
    <w:p/>
    <w:p>
      <w:pPr>
        <w:spacing w:after="100"/>
      </w:pPr>
      <w:r>
        <w:t>The intended client deployment matrix therefore becomes configurable rather than hardcoded. For example: Client A could use Vercel + Supabase + Clerk + Twilio; Client B could use AWS hosting + RDS PostgreSQL + Clerk + another telephony provider; Client C could use another compatible hosting/database combination. The application layer should remain the same wherever the selected adapters and infrastructure contracts are supported.</w:t>
      </w:r>
    </w:p>
    <w:p>
      <w:pPr>
        <w:pStyle w:val="Heading1"/>
      </w:pPr>
      <w:r>
        <w:t>11. Current Verified Engineering Progress as of 12 September 2026</w:t>
      </w:r>
    </w:p>
    <w:p>
      <w:pPr>
        <w:spacing w:after="100"/>
      </w:pPr>
      <w:r>
        <w:t>Progress percentages are planning estimates, not formal KPIs. The project source material consistently distinguishes feature maturity from production confidence. The most useful overall description is approximately 55% feature maturity, with the engineering/platform foundation around 75–80%. Production readiness is materially lower because certification requires live-provider, deployment, worker, chaos, realtime and operational evidence.</w:t>
      </w:r>
    </w:p>
    <w:tbl>
      <w:tblPr>
        <w:tblStyle w:val="TableGrid"/>
        <w:tblW w:type="auto" w:w="0"/>
        <w:jc w:val="center"/>
        <w:tblLook w:firstColumn="1" w:firstRow="1" w:lastColumn="0" w:lastRow="0" w:noHBand="0" w:noVBand="1" w:val="04A0"/>
      </w:tblPr>
      <w:tblGrid>
        <w:gridCol w:w="3360"/>
        <w:gridCol w:w="3360"/>
        <w:gridCol w:w="3360"/>
      </w:tblGrid>
      <w:tr>
        <w:tc>
          <w:tcPr>
            <w:tcW w:type="dxa" w:w="2520"/>
            <w:vAlign w:val="center"/>
            <w:shd w:fill="D9EAF7"/>
          </w:tcPr>
          <w:p>
            <w:r/>
            <w:r>
              <w:rPr>
                <w:b/>
                <w:sz w:val="17"/>
              </w:rPr>
              <w:t>Area</w:t>
            </w:r>
          </w:p>
        </w:tc>
        <w:tc>
          <w:tcPr>
            <w:tcW w:type="dxa" w:w="1800"/>
            <w:vAlign w:val="center"/>
            <w:shd w:fill="D9EAF7"/>
          </w:tcPr>
          <w:p>
            <w:r/>
            <w:r>
              <w:rPr>
                <w:b/>
                <w:sz w:val="17"/>
              </w:rPr>
              <w:t>Approx. maturity</w:t>
            </w:r>
          </w:p>
        </w:tc>
        <w:tc>
          <w:tcPr>
            <w:tcW w:type="dxa" w:w="5112"/>
            <w:vAlign w:val="center"/>
            <w:shd w:fill="D9EAF7"/>
          </w:tcPr>
          <w:p>
            <w:r/>
            <w:r>
              <w:rPr>
                <w:b/>
                <w:sz w:val="17"/>
              </w:rPr>
              <w:t>Current interpretation</w:t>
            </w:r>
          </w:p>
        </w:tc>
      </w:tr>
      <w:tr>
        <w:tc>
          <w:tcPr>
            <w:tcW w:type="dxa" w:w="2520"/>
            <w:vAlign w:val="center"/>
          </w:tcPr>
          <w:p>
            <w:r/>
            <w:r>
              <w:rPr>
                <w:b w:val="0"/>
                <w:sz w:val="17"/>
              </w:rPr>
              <w:t>Core architecture / multi-deployment model</w:t>
            </w:r>
          </w:p>
        </w:tc>
        <w:tc>
          <w:tcPr>
            <w:tcW w:type="dxa" w:w="1800"/>
            <w:vAlign w:val="center"/>
          </w:tcPr>
          <w:p>
            <w:r/>
            <w:r>
              <w:rPr>
                <w:b w:val="0"/>
                <w:sz w:val="17"/>
              </w:rPr>
              <w:t>80–90%</w:t>
            </w:r>
          </w:p>
        </w:tc>
        <w:tc>
          <w:tcPr>
            <w:tcW w:type="dxa" w:w="5112"/>
            <w:vAlign w:val="center"/>
          </w:tcPr>
          <w:p>
            <w:r/>
            <w:r>
              <w:rPr>
                <w:b w:val="0"/>
                <w:sz w:val="17"/>
              </w:rPr>
              <w:t>Architecture is strongly defined and major boundaries are established.</w:t>
            </w:r>
          </w:p>
        </w:tc>
      </w:tr>
      <w:tr>
        <w:tc>
          <w:tcPr>
            <w:tcW w:type="dxa" w:w="2520"/>
            <w:vAlign w:val="center"/>
          </w:tcPr>
          <w:p>
            <w:r/>
            <w:r>
              <w:rPr>
                <w:b w:val="0"/>
                <w:sz w:val="17"/>
              </w:rPr>
              <w:t>Security / RLS / RBAC</w:t>
            </w:r>
          </w:p>
        </w:tc>
        <w:tc>
          <w:tcPr>
            <w:tcW w:type="dxa" w:w="1800"/>
            <w:vAlign w:val="center"/>
          </w:tcPr>
          <w:p>
            <w:r/>
            <w:r>
              <w:rPr>
                <w:b w:val="0"/>
                <w:sz w:val="17"/>
              </w:rPr>
              <w:t>75–85%</w:t>
            </w:r>
          </w:p>
        </w:tc>
        <w:tc>
          <w:tcPr>
            <w:tcW w:type="dxa" w:w="5112"/>
            <w:vAlign w:val="center"/>
          </w:tcPr>
          <w:p>
            <w:r/>
            <w:r>
              <w:rPr>
                <w:b w:val="0"/>
                <w:sz w:val="17"/>
              </w:rPr>
              <w:t>Strong foundation; live/runtime certification still matters.</w:t>
            </w:r>
          </w:p>
        </w:tc>
      </w:tr>
      <w:tr>
        <w:tc>
          <w:tcPr>
            <w:tcW w:type="dxa" w:w="2520"/>
            <w:vAlign w:val="center"/>
          </w:tcPr>
          <w:p>
            <w:r/>
            <w:r>
              <w:rPr>
                <w:b w:val="0"/>
                <w:sz w:val="17"/>
              </w:rPr>
              <w:t>Core CRM</w:t>
            </w:r>
          </w:p>
        </w:tc>
        <w:tc>
          <w:tcPr>
            <w:tcW w:type="dxa" w:w="1800"/>
            <w:vAlign w:val="center"/>
          </w:tcPr>
          <w:p>
            <w:r/>
            <w:r>
              <w:rPr>
                <w:b w:val="0"/>
                <w:sz w:val="17"/>
              </w:rPr>
              <w:t>60–75%</w:t>
            </w:r>
          </w:p>
        </w:tc>
        <w:tc>
          <w:tcPr>
            <w:tcW w:type="dxa" w:w="5112"/>
            <w:vAlign w:val="center"/>
          </w:tcPr>
          <w:p>
            <w:r/>
            <w:r>
              <w:rPr>
                <w:b w:val="0"/>
                <w:sz w:val="17"/>
              </w:rPr>
              <w:t>Customers/contacts/leads/deals/tasks and supporting backend/UI are substantially implemented; remaining workflows/UI/reporting need completion.</w:t>
            </w:r>
          </w:p>
        </w:tc>
      </w:tr>
      <w:tr>
        <w:tc>
          <w:tcPr>
            <w:tcW w:type="dxa" w:w="2520"/>
            <w:vAlign w:val="center"/>
          </w:tcPr>
          <w:p>
            <w:r/>
            <w:r>
              <w:rPr>
                <w:b w:val="0"/>
                <w:sz w:val="17"/>
              </w:rPr>
              <w:t>Communication / telephony</w:t>
            </w:r>
          </w:p>
        </w:tc>
        <w:tc>
          <w:tcPr>
            <w:tcW w:type="dxa" w:w="1800"/>
            <w:vAlign w:val="center"/>
          </w:tcPr>
          <w:p>
            <w:r/>
            <w:r>
              <w:rPr>
                <w:b w:val="0"/>
                <w:sz w:val="17"/>
              </w:rPr>
              <w:t>60–75%</w:t>
            </w:r>
          </w:p>
        </w:tc>
        <w:tc>
          <w:tcPr>
            <w:tcW w:type="dxa" w:w="5112"/>
            <w:vAlign w:val="center"/>
          </w:tcPr>
          <w:p>
            <w:r/>
            <w:r>
              <w:rPr>
                <w:b w:val="0"/>
                <w:sz w:val="17"/>
              </w:rPr>
              <w:t>Substantial architecture and integration work exists; real-provider and realtime certification remain.</w:t>
            </w:r>
          </w:p>
        </w:tc>
      </w:tr>
      <w:tr>
        <w:tc>
          <w:tcPr>
            <w:tcW w:type="dxa" w:w="2520"/>
            <w:vAlign w:val="center"/>
          </w:tcPr>
          <w:p>
            <w:r/>
            <w:r>
              <w:rPr>
                <w:b w:val="0"/>
                <w:sz w:val="17"/>
              </w:rPr>
              <w:t>Revenue / quotations</w:t>
            </w:r>
          </w:p>
        </w:tc>
        <w:tc>
          <w:tcPr>
            <w:tcW w:type="dxa" w:w="1800"/>
            <w:vAlign w:val="center"/>
          </w:tcPr>
          <w:p>
            <w:r/>
            <w:r>
              <w:rPr>
                <w:b w:val="0"/>
                <w:sz w:val="17"/>
              </w:rPr>
              <w:t>75–85%</w:t>
            </w:r>
          </w:p>
        </w:tc>
        <w:tc>
          <w:tcPr>
            <w:tcW w:type="dxa" w:w="5112"/>
            <w:vAlign w:val="center"/>
          </w:tcPr>
          <w:p>
            <w:r/>
            <w:r>
              <w:rPr>
                <w:b w:val="0"/>
                <w:sz w:val="17"/>
              </w:rPr>
              <w:t>Products/pricing/quotes/approvals and financial controls are substantially developed.</w:t>
            </w:r>
          </w:p>
        </w:tc>
      </w:tr>
      <w:tr>
        <w:tc>
          <w:tcPr>
            <w:tcW w:type="dxa" w:w="2520"/>
            <w:vAlign w:val="center"/>
          </w:tcPr>
          <w:p>
            <w:r/>
            <w:r>
              <w:rPr>
                <w:b w:val="0"/>
                <w:sz w:val="17"/>
              </w:rPr>
              <w:t>CCTV security/backend</w:t>
            </w:r>
          </w:p>
        </w:tc>
        <w:tc>
          <w:tcPr>
            <w:tcW w:type="dxa" w:w="1800"/>
            <w:vAlign w:val="center"/>
          </w:tcPr>
          <w:p>
            <w:r/>
            <w:r>
              <w:rPr>
                <w:b w:val="0"/>
                <w:sz w:val="17"/>
              </w:rPr>
              <w:t>65–75%</w:t>
            </w:r>
          </w:p>
        </w:tc>
        <w:tc>
          <w:tcPr>
            <w:tcW w:type="dxa" w:w="5112"/>
            <w:vAlign w:val="center"/>
          </w:tcPr>
          <w:p>
            <w:r/>
            <w:r>
              <w:rPr>
                <w:b w:val="0"/>
                <w:sz w:val="17"/>
              </w:rPr>
              <w:t>Security controls and ingestion-worker architecture have advanced significantly.</w:t>
            </w:r>
          </w:p>
        </w:tc>
      </w:tr>
      <w:tr>
        <w:tc>
          <w:tcPr>
            <w:tcW w:type="dxa" w:w="2520"/>
            <w:vAlign w:val="center"/>
          </w:tcPr>
          <w:p>
            <w:r/>
            <w:r>
              <w:rPr>
                <w:b w:val="0"/>
                <w:sz w:val="17"/>
              </w:rPr>
              <w:t>Complete CCTV product</w:t>
            </w:r>
          </w:p>
        </w:tc>
        <w:tc>
          <w:tcPr>
            <w:tcW w:type="dxa" w:w="1800"/>
            <w:vAlign w:val="center"/>
          </w:tcPr>
          <w:p>
            <w:r/>
            <w:r>
              <w:rPr>
                <w:b w:val="0"/>
                <w:sz w:val="17"/>
              </w:rPr>
              <w:t>45–55%</w:t>
            </w:r>
          </w:p>
        </w:tc>
        <w:tc>
          <w:tcPr>
            <w:tcW w:type="dxa" w:w="5112"/>
            <w:vAlign w:val="center"/>
          </w:tcPr>
          <w:p>
            <w:r/>
            <w:r>
              <w:rPr>
                <w:b w:val="0"/>
                <w:sz w:val="17"/>
              </w:rPr>
              <w:t>Real infrastructure/E2E operational product still needs completion.</w:t>
            </w:r>
          </w:p>
        </w:tc>
      </w:tr>
      <w:tr>
        <w:tc>
          <w:tcPr>
            <w:tcW w:type="dxa" w:w="2520"/>
            <w:vAlign w:val="center"/>
          </w:tcPr>
          <w:p>
            <w:r/>
            <w:r>
              <w:rPr>
                <w:b w:val="0"/>
                <w:sz w:val="17"/>
              </w:rPr>
              <w:t>AI</w:t>
            </w:r>
          </w:p>
        </w:tc>
        <w:tc>
          <w:tcPr>
            <w:tcW w:type="dxa" w:w="1800"/>
            <w:vAlign w:val="center"/>
          </w:tcPr>
          <w:p>
            <w:r/>
            <w:r>
              <w:rPr>
                <w:b w:val="0"/>
                <w:sz w:val="17"/>
              </w:rPr>
              <w:t>35–45%</w:t>
            </w:r>
          </w:p>
        </w:tc>
        <w:tc>
          <w:tcPr>
            <w:tcW w:type="dxa" w:w="5112"/>
            <w:vAlign w:val="center"/>
          </w:tcPr>
          <w:p>
            <w:r/>
            <w:r>
              <w:rPr>
                <w:b w:val="0"/>
                <w:sz w:val="17"/>
              </w:rPr>
              <w:t>Controlled architecture and worker concepts exist; full provider and product certification remains.</w:t>
            </w:r>
          </w:p>
        </w:tc>
      </w:tr>
      <w:tr>
        <w:tc>
          <w:tcPr>
            <w:tcW w:type="dxa" w:w="2520"/>
            <w:vAlign w:val="center"/>
          </w:tcPr>
          <w:p>
            <w:r/>
            <w:r>
              <w:rPr>
                <w:b w:val="0"/>
                <w:sz w:val="17"/>
              </w:rPr>
              <w:t>Realtime</w:t>
            </w:r>
          </w:p>
        </w:tc>
        <w:tc>
          <w:tcPr>
            <w:tcW w:type="dxa" w:w="1800"/>
            <w:vAlign w:val="center"/>
          </w:tcPr>
          <w:p>
            <w:r/>
            <w:r>
              <w:rPr>
                <w:b w:val="0"/>
                <w:sz w:val="17"/>
              </w:rPr>
              <w:t>35–45%</w:t>
            </w:r>
          </w:p>
        </w:tc>
        <w:tc>
          <w:tcPr>
            <w:tcW w:type="dxa" w:w="5112"/>
            <w:vAlign w:val="center"/>
          </w:tcPr>
          <w:p>
            <w:r/>
            <w:r>
              <w:rPr>
                <w:b w:val="0"/>
                <w:sz w:val="17"/>
              </w:rPr>
              <w:t>Managed-provider direction exists; canonical provider and security validation remain.</w:t>
            </w:r>
          </w:p>
        </w:tc>
      </w:tr>
      <w:tr>
        <w:tc>
          <w:tcPr>
            <w:tcW w:type="dxa" w:w="2520"/>
            <w:vAlign w:val="center"/>
          </w:tcPr>
          <w:p>
            <w:r/>
            <w:r>
              <w:rPr>
                <w:b w:val="0"/>
                <w:sz w:val="17"/>
              </w:rPr>
              <w:t>Field/security operations</w:t>
            </w:r>
          </w:p>
        </w:tc>
        <w:tc>
          <w:tcPr>
            <w:tcW w:type="dxa" w:w="1800"/>
            <w:vAlign w:val="center"/>
          </w:tcPr>
          <w:p>
            <w:r/>
            <w:r>
              <w:rPr>
                <w:b w:val="0"/>
                <w:sz w:val="17"/>
              </w:rPr>
              <w:t>35–50%</w:t>
            </w:r>
          </w:p>
        </w:tc>
        <w:tc>
          <w:tcPr>
            <w:tcW w:type="dxa" w:w="5112"/>
            <w:vAlign w:val="center"/>
          </w:tcPr>
          <w:p>
            <w:r/>
            <w:r>
              <w:rPr>
                <w:b w:val="0"/>
                <w:sz w:val="17"/>
              </w:rPr>
              <w:t>Core organizational/workforce direction exists; full workflows remain.</w:t>
            </w:r>
          </w:p>
        </w:tc>
      </w:tr>
      <w:tr>
        <w:tc>
          <w:tcPr>
            <w:tcW w:type="dxa" w:w="2520"/>
            <w:vAlign w:val="center"/>
          </w:tcPr>
          <w:p>
            <w:r/>
            <w:r>
              <w:rPr>
                <w:b w:val="0"/>
                <w:sz w:val="17"/>
              </w:rPr>
              <w:t>Notifications/alerts</w:t>
            </w:r>
          </w:p>
        </w:tc>
        <w:tc>
          <w:tcPr>
            <w:tcW w:type="dxa" w:w="1800"/>
            <w:vAlign w:val="center"/>
          </w:tcPr>
          <w:p>
            <w:r/>
            <w:r>
              <w:rPr>
                <w:b w:val="0"/>
                <w:sz w:val="17"/>
              </w:rPr>
              <w:t>40–50%</w:t>
            </w:r>
          </w:p>
        </w:tc>
        <w:tc>
          <w:tcPr>
            <w:tcW w:type="dxa" w:w="5112"/>
            <w:vAlign w:val="center"/>
          </w:tcPr>
          <w:p>
            <w:r/>
            <w:r>
              <w:rPr>
                <w:b w:val="0"/>
                <w:sz w:val="17"/>
              </w:rPr>
              <w:t>Infrastructure and domain pieces exist; end-to-end completion remains.</w:t>
            </w:r>
          </w:p>
        </w:tc>
      </w:tr>
      <w:tr>
        <w:tc>
          <w:tcPr>
            <w:tcW w:type="dxa" w:w="2520"/>
            <w:vAlign w:val="center"/>
          </w:tcPr>
          <w:p>
            <w:r/>
            <w:r>
              <w:rPr>
                <w:b w:val="0"/>
                <w:sz w:val="17"/>
              </w:rPr>
              <w:t>Reporting/analytics</w:t>
            </w:r>
          </w:p>
        </w:tc>
        <w:tc>
          <w:tcPr>
            <w:tcW w:type="dxa" w:w="1800"/>
            <w:vAlign w:val="center"/>
          </w:tcPr>
          <w:p>
            <w:r/>
            <w:r>
              <w:rPr>
                <w:b w:val="0"/>
                <w:sz w:val="17"/>
              </w:rPr>
              <w:t>30–45%</w:t>
            </w:r>
          </w:p>
        </w:tc>
        <w:tc>
          <w:tcPr>
            <w:tcW w:type="dxa" w:w="5112"/>
            <w:vAlign w:val="center"/>
          </w:tcPr>
          <w:p>
            <w:r/>
            <w:r>
              <w:rPr>
                <w:b w:val="0"/>
                <w:sz w:val="17"/>
              </w:rPr>
              <w:t>Substantial backend analytics exists in places; final dashboards/reporting remain.</w:t>
            </w:r>
          </w:p>
        </w:tc>
      </w:tr>
      <w:tr>
        <w:tc>
          <w:tcPr>
            <w:tcW w:type="dxa" w:w="2520"/>
            <w:vAlign w:val="center"/>
          </w:tcPr>
          <w:p>
            <w:r/>
            <w:r>
              <w:rPr>
                <w:b w:val="0"/>
                <w:sz w:val="17"/>
              </w:rPr>
              <w:t>Observability/DR</w:t>
            </w:r>
          </w:p>
        </w:tc>
        <w:tc>
          <w:tcPr>
            <w:tcW w:type="dxa" w:w="1800"/>
            <w:vAlign w:val="center"/>
          </w:tcPr>
          <w:p>
            <w:r/>
            <w:r>
              <w:rPr>
                <w:b w:val="0"/>
                <w:sz w:val="17"/>
              </w:rPr>
              <w:t>50–60%</w:t>
            </w:r>
          </w:p>
        </w:tc>
        <w:tc>
          <w:tcPr>
            <w:tcW w:type="dxa" w:w="5112"/>
            <w:vAlign w:val="center"/>
          </w:tcPr>
          <w:p>
            <w:r/>
            <w:r>
              <w:rPr>
                <w:b w:val="0"/>
                <w:sz w:val="17"/>
              </w:rPr>
              <w:t>Requirements and some implementation exist; operational proof/runbooks remain.</w:t>
            </w:r>
          </w:p>
        </w:tc>
      </w:tr>
      <w:tr>
        <w:tc>
          <w:tcPr>
            <w:tcW w:type="dxa" w:w="2520"/>
            <w:vAlign w:val="center"/>
          </w:tcPr>
          <w:p>
            <w:r/>
            <w:r>
              <w:rPr>
                <w:b w:val="0"/>
                <w:sz w:val="17"/>
              </w:rPr>
              <w:t>Scalability certification</w:t>
            </w:r>
          </w:p>
        </w:tc>
        <w:tc>
          <w:tcPr>
            <w:tcW w:type="dxa" w:w="1800"/>
            <w:vAlign w:val="center"/>
          </w:tcPr>
          <w:p>
            <w:r/>
            <w:r>
              <w:rPr>
                <w:b w:val="0"/>
                <w:sz w:val="17"/>
              </w:rPr>
              <w:t>40–50%</w:t>
            </w:r>
          </w:p>
        </w:tc>
        <w:tc>
          <w:tcPr>
            <w:tcW w:type="dxa" w:w="5112"/>
            <w:vAlign w:val="center"/>
          </w:tcPr>
          <w:p>
            <w:r/>
            <w:r>
              <w:rPr>
                <w:b w:val="0"/>
                <w:sz w:val="17"/>
              </w:rPr>
              <w:t>Architecture has been reviewed, but final concurrency/load proof is required.</w:t>
            </w:r>
          </w:p>
        </w:tc>
      </w:tr>
      <w:tr>
        <w:tc>
          <w:tcPr>
            <w:tcW w:type="dxa" w:w="2520"/>
            <w:vAlign w:val="center"/>
          </w:tcPr>
          <w:p>
            <w:r/>
            <w:r>
              <w:rPr>
                <w:b w:val="0"/>
                <w:sz w:val="17"/>
              </w:rPr>
              <w:t>Client provisioning</w:t>
            </w:r>
          </w:p>
        </w:tc>
        <w:tc>
          <w:tcPr>
            <w:tcW w:type="dxa" w:w="1800"/>
            <w:vAlign w:val="center"/>
          </w:tcPr>
          <w:p>
            <w:r/>
            <w:r>
              <w:rPr>
                <w:b w:val="0"/>
                <w:sz w:val="17"/>
              </w:rPr>
              <w:t>50–60%</w:t>
            </w:r>
          </w:p>
        </w:tc>
        <w:tc>
          <w:tcPr>
            <w:tcW w:type="dxa" w:w="5112"/>
            <w:vAlign w:val="center"/>
          </w:tcPr>
          <w:p>
            <w:r/>
            <w:r>
              <w:rPr>
                <w:b w:val="0"/>
                <w:sz w:val="17"/>
              </w:rPr>
              <w:t>Target lifecycle is defined; repeatable automation/certification remains.</w:t>
            </w:r>
          </w:p>
        </w:tc>
      </w:tr>
      <w:tr>
        <w:tc>
          <w:tcPr>
            <w:tcW w:type="dxa" w:w="2520"/>
            <w:vAlign w:val="center"/>
          </w:tcPr>
          <w:p>
            <w:r/>
            <w:r>
              <w:rPr>
                <w:b w:val="0"/>
                <w:sz w:val="17"/>
              </w:rPr>
              <w:t>Overall feature maturity</w:t>
            </w:r>
          </w:p>
        </w:tc>
        <w:tc>
          <w:tcPr>
            <w:tcW w:type="dxa" w:w="1800"/>
            <w:vAlign w:val="center"/>
          </w:tcPr>
          <w:p>
            <w:r/>
            <w:r>
              <w:rPr>
                <w:b w:val="0"/>
                <w:sz w:val="17"/>
              </w:rPr>
              <w:t>~50–60% (≈55% midpoint)</w:t>
            </w:r>
          </w:p>
        </w:tc>
        <w:tc>
          <w:tcPr>
            <w:tcW w:type="dxa" w:w="5112"/>
            <w:vAlign w:val="center"/>
          </w:tcPr>
          <w:p>
            <w:r/>
            <w:r>
              <w:rPr>
                <w:b w:val="0"/>
                <w:sz w:val="17"/>
              </w:rPr>
              <w:t>Best single planning estimate for the whole product.</w:t>
            </w:r>
          </w:p>
        </w:tc>
      </w:tr>
      <w:tr>
        <w:tc>
          <w:tcPr>
            <w:tcW w:type="dxa" w:w="2520"/>
            <w:vAlign w:val="center"/>
          </w:tcPr>
          <w:p>
            <w:r/>
            <w:r>
              <w:rPr>
                <w:b w:val="0"/>
                <w:sz w:val="17"/>
              </w:rPr>
              <w:t>Production readiness</w:t>
            </w:r>
          </w:p>
        </w:tc>
        <w:tc>
          <w:tcPr>
            <w:tcW w:type="dxa" w:w="1800"/>
            <w:vAlign w:val="center"/>
          </w:tcPr>
          <w:p>
            <w:r/>
            <w:r>
              <w:rPr>
                <w:b w:val="0"/>
                <w:sz w:val="17"/>
              </w:rPr>
              <w:t>~30–40%</w:t>
            </w:r>
          </w:p>
        </w:tc>
        <w:tc>
          <w:tcPr>
            <w:tcW w:type="dxa" w:w="5112"/>
            <w:vAlign w:val="center"/>
          </w:tcPr>
          <w:p>
            <w:r/>
            <w:r>
              <w:rPr>
                <w:b w:val="0"/>
                <w:sz w:val="17"/>
              </w:rPr>
              <w:t>Not equivalent to feature completeness; final certification is still required.</w:t>
            </w:r>
          </w:p>
        </w:tc>
      </w:tr>
    </w:tbl>
    <w:p/>
    <w:p>
      <w:pPr>
        <w:pStyle w:val="Heading1"/>
      </w:pPr>
      <w:r>
        <w:t>12. Work Completed / Strongly Established</w:t>
      </w:r>
    </w:p>
    <w:p>
      <w:pPr>
        <w:pStyle w:val="ListBullet"/>
        <w:spacing w:after="40"/>
      </w:pPr>
      <w:r>
        <w:t>Next.js + TypeScript + Prisma/PostgreSQL foundation and server-side service/action architecture.</w:t>
      </w:r>
    </w:p>
    <w:p>
      <w:pPr>
        <w:pStyle w:val="ListBullet"/>
        <w:spacing w:after="40"/>
      </w:pPr>
      <w:r>
        <w:t>Clerk-oriented authentication and database-backed application identity architecture.</w:t>
      </w:r>
    </w:p>
    <w:p>
      <w:pPr>
        <w:pStyle w:val="ListBullet"/>
        <w:spacing w:after="40"/>
      </w:pPr>
      <w:r>
        <w:t>Tenant-aware service patterns, RBAC/permission checks, ownership checks and PostgreSQL RLS.</w:t>
      </w:r>
    </w:p>
    <w:p>
      <w:pPr>
        <w:pStyle w:val="ListBullet"/>
        <w:spacing w:after="40"/>
      </w:pPr>
      <w:r>
        <w:t>Adversarial security testing history covering tenant isolation, IDOR, RBAC and related boundaries.</w:t>
      </w:r>
    </w:p>
    <w:p>
      <w:pPr>
        <w:pStyle w:val="ListBullet"/>
        <w:spacing w:after="40"/>
      </w:pPr>
      <w:r>
        <w:t>CRM backend and significant CRM UI for customers, contacts, leads, pipelines and deals.</w:t>
      </w:r>
    </w:p>
    <w:p>
      <w:pPr>
        <w:pStyle w:val="ListBullet"/>
        <w:spacing w:after="40"/>
      </w:pPr>
      <w:r>
        <w:t>S4.3A Contact lifecycle: update/archive with tenant/permission/ownership controls and focused security tests.</w:t>
      </w:r>
    </w:p>
    <w:p>
      <w:pPr>
        <w:pStyle w:val="ListBullet"/>
        <w:spacing w:after="40"/>
      </w:pPr>
      <w:r>
        <w:t>S4.4 Leads/Pipelines/Deals: Deal update/archive, Lead→Deal UI conversion, lead search/filter controls and lifecycle security tests.</w:t>
      </w:r>
    </w:p>
    <w:p>
      <w:pPr>
        <w:pStyle w:val="ListBullet"/>
        <w:spacing w:after="40"/>
      </w:pPr>
      <w:r>
        <w:t>Worker architecture with lease/fencing concepts and node-affine CCTV processing.</w:t>
      </w:r>
    </w:p>
    <w:p>
      <w:pPr>
        <w:pStyle w:val="ListBullet"/>
        <w:spacing w:after="40"/>
      </w:pPr>
      <w:r>
        <w:t>CCTV R01–R06 security work: dedicated resource permissions, stream credential protection, scoped tenant context, Authorization-based WHEP proxy, webhook secret transport correction and recording-root/path containment.</w:t>
      </w:r>
    </w:p>
    <w:p>
      <w:pPr>
        <w:pStyle w:val="ListBullet"/>
        <w:spacing w:after="40"/>
      </w:pPr>
      <w:r>
        <w:t>Canonical Prisma baseline and migration reconciliation work, including empty-database migration safety.</w:t>
      </w:r>
    </w:p>
    <w:p>
      <w:pPr>
        <w:pStyle w:val="ListBullet"/>
        <w:spacing w:after="40"/>
      </w:pPr>
      <w:r>
        <w:t>Provider health/degradation architecture and the explicit rule against silent fake production data.</w:t>
      </w:r>
    </w:p>
    <w:p>
      <w:pPr>
        <w:pStyle w:val="ListBullet"/>
        <w:spacing w:after="40"/>
      </w:pPr>
      <w:r>
        <w:t>Vercel compatibility correction: persistent filesystem and long-running work moved away from serverless request handlers.</w:t>
      </w:r>
    </w:p>
    <w:p>
      <w:pPr>
        <w:pStyle w:val="Heading1"/>
      </w:pPr>
      <w:r>
        <w:t>13. Latest Security / Stabilization Evidence</w:t>
      </w:r>
    </w:p>
    <w:p>
      <w:pPr>
        <w:spacing w:after="100"/>
      </w:pPr>
      <w:r>
        <w:t>The latest documented S10 R06 closure reported focused CCTV ingestion tests at 13/13, TypeScript with 0 errors, ESLint with 0 errors/0 warnings, diff-check passing, and a fresh full security suite of 750 tests with 748 passed and 2 failures. Both failures were the known inherited DR-remediation timeout tests; they were not newly introduced by R06. fileciteturn204file0</w:t>
      </w:r>
    </w:p>
    <w:p>
      <w:pPr>
        <w:spacing w:after="100"/>
      </w:pPr>
      <w:r>
        <w:t>Earlier S4.4 closure established focused Lead tests 8/8 and Deal tests 12/12, with the full security suite reported at the then-current 104 files / 704 tests. The important rule is to preserve exact evidence rather than claim a generic 'all tests pass'.</w:t>
      </w:r>
    </w:p>
    <w:p>
      <w:pPr>
        <w:spacing w:after="100"/>
      </w:pPr>
      <w:r>
        <w:t>A major standing rule remains: no stabilization phase should be marked PASS from code inspection alone where an executable demonstration is possible. The S-phase framework requires reproducible commands, tests, simulations or database queries. fileciteturn205file0</w:t>
      </w:r>
    </w:p>
    <w:p>
      <w:pPr>
        <w:pStyle w:val="Heading1"/>
      </w:pPr>
      <w:r>
        <w:t>14. Current S10 CCTV Status</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D9EAF7"/>
          </w:tcPr>
          <w:p>
            <w:r/>
            <w:r>
              <w:rPr>
                <w:b/>
                <w:sz w:val="17"/>
              </w:rPr>
              <w:t>Remediation</w:t>
            </w:r>
          </w:p>
        </w:tc>
        <w:tc>
          <w:tcPr>
            <w:tcW w:type="dxa" w:w="1800"/>
            <w:vAlign w:val="center"/>
            <w:shd w:fill="D9EAF7"/>
          </w:tcPr>
          <w:p>
            <w:r/>
            <w:r>
              <w:rPr>
                <w:b/>
                <w:sz w:val="17"/>
              </w:rPr>
              <w:t>Status as of latest documented work</w:t>
            </w:r>
          </w:p>
        </w:tc>
        <w:tc>
          <w:tcPr>
            <w:tcW w:type="dxa" w:w="6192"/>
            <w:vAlign w:val="center"/>
            <w:shd w:fill="D9EAF7"/>
          </w:tcPr>
          <w:p>
            <w:r/>
            <w:r>
              <w:rPr>
                <w:b/>
                <w:sz w:val="17"/>
              </w:rPr>
              <w:t>Meaning</w:t>
            </w:r>
          </w:p>
        </w:tc>
      </w:tr>
      <w:tr>
        <w:tc>
          <w:tcPr>
            <w:tcW w:type="dxa" w:w="1440"/>
            <w:vAlign w:val="center"/>
          </w:tcPr>
          <w:p>
            <w:r/>
            <w:r>
              <w:rPr>
                <w:b w:val="0"/>
                <w:sz w:val="17"/>
              </w:rPr>
              <w:t>R01</w:t>
            </w:r>
          </w:p>
        </w:tc>
        <w:tc>
          <w:tcPr>
            <w:tcW w:type="dxa" w:w="1800"/>
            <w:vAlign w:val="center"/>
          </w:tcPr>
          <w:p>
            <w:r/>
            <w:r>
              <w:rPr>
                <w:b w:val="0"/>
                <w:sz w:val="17"/>
              </w:rPr>
              <w:t>VERIFIED</w:t>
            </w:r>
          </w:p>
        </w:tc>
        <w:tc>
          <w:tcPr>
            <w:tcW w:type="dxa" w:w="6192"/>
            <w:vAlign w:val="center"/>
          </w:tcPr>
          <w:p>
            <w:r/>
            <w:r>
              <w:rPr>
                <w:b w:val="0"/>
                <w:sz w:val="17"/>
              </w:rPr>
              <w:t>CCTV resource permission mapping and stream credential protection.</w:t>
            </w:r>
          </w:p>
        </w:tc>
      </w:tr>
      <w:tr>
        <w:tc>
          <w:tcPr>
            <w:tcW w:type="dxa" w:w="1440"/>
            <w:vAlign w:val="center"/>
          </w:tcPr>
          <w:p>
            <w:r/>
            <w:r>
              <w:rPr>
                <w:b w:val="0"/>
                <w:sz w:val="17"/>
              </w:rPr>
              <w:t>R02</w:t>
            </w:r>
          </w:p>
        </w:tc>
        <w:tc>
          <w:tcPr>
            <w:tcW w:type="dxa" w:w="1800"/>
            <w:vAlign w:val="center"/>
          </w:tcPr>
          <w:p>
            <w:r/>
            <w:r>
              <w:rPr>
                <w:b w:val="0"/>
                <w:sz w:val="17"/>
              </w:rPr>
              <w:t>VERIFIED</w:t>
            </w:r>
          </w:p>
        </w:tc>
        <w:tc>
          <w:tcPr>
            <w:tcW w:type="dxa" w:w="6192"/>
            <w:vAlign w:val="center"/>
          </w:tcPr>
          <w:p>
            <w:r/>
            <w:r>
              <w:rPr>
                <w:b w:val="0"/>
                <w:sz w:val="17"/>
              </w:rPr>
              <w:t>CCTV permission mappings for camera/stream/recording/AI event operations.</w:t>
            </w:r>
          </w:p>
        </w:tc>
      </w:tr>
      <w:tr>
        <w:tc>
          <w:tcPr>
            <w:tcW w:type="dxa" w:w="1440"/>
            <w:vAlign w:val="center"/>
          </w:tcPr>
          <w:p>
            <w:r/>
            <w:r>
              <w:rPr>
                <w:b w:val="0"/>
                <w:sz w:val="17"/>
              </w:rPr>
              <w:t>R03</w:t>
            </w:r>
          </w:p>
        </w:tc>
        <w:tc>
          <w:tcPr>
            <w:tcW w:type="dxa" w:w="1800"/>
            <w:vAlign w:val="center"/>
          </w:tcPr>
          <w:p>
            <w:r/>
            <w:r>
              <w:rPr>
                <w:b w:val="0"/>
                <w:sz w:val="17"/>
              </w:rPr>
              <w:t>VERIFIED</w:t>
            </w:r>
          </w:p>
        </w:tc>
        <w:tc>
          <w:tcPr>
            <w:tcW w:type="dxa" w:w="6192"/>
            <w:vAlign w:val="center"/>
          </w:tcPr>
          <w:p>
            <w:r/>
            <w:r>
              <w:rPr>
                <w:b w:val="0"/>
                <w:sz w:val="17"/>
              </w:rPr>
              <w:t>Scoped tenant context for worker/database operations; parameterized tenant GUC.</w:t>
            </w:r>
          </w:p>
        </w:tc>
      </w:tr>
      <w:tr>
        <w:tc>
          <w:tcPr>
            <w:tcW w:type="dxa" w:w="1440"/>
            <w:vAlign w:val="center"/>
          </w:tcPr>
          <w:p>
            <w:r/>
            <w:r>
              <w:rPr>
                <w:b w:val="0"/>
                <w:sz w:val="17"/>
              </w:rPr>
              <w:t>R04</w:t>
            </w:r>
          </w:p>
        </w:tc>
        <w:tc>
          <w:tcPr>
            <w:tcW w:type="dxa" w:w="1800"/>
            <w:vAlign w:val="center"/>
          </w:tcPr>
          <w:p>
            <w:r/>
            <w:r>
              <w:rPr>
                <w:b w:val="0"/>
                <w:sz w:val="17"/>
              </w:rPr>
              <w:t>VERIFIED</w:t>
            </w:r>
          </w:p>
        </w:tc>
        <w:tc>
          <w:tcPr>
            <w:tcW w:type="dxa" w:w="6192"/>
            <w:vAlign w:val="center"/>
          </w:tcPr>
          <w:p>
            <w:r/>
            <w:r>
              <w:rPr>
                <w:b w:val="0"/>
                <w:sz w:val="17"/>
              </w:rPr>
              <w:t>Authorization-header based WHEP proxy; token forwarded internally only as required by MediaMTX contract.</w:t>
            </w:r>
          </w:p>
        </w:tc>
      </w:tr>
      <w:tr>
        <w:tc>
          <w:tcPr>
            <w:tcW w:type="dxa" w:w="1440"/>
            <w:vAlign w:val="center"/>
          </w:tcPr>
          <w:p>
            <w:r/>
            <w:r>
              <w:rPr>
                <w:b w:val="0"/>
                <w:sz w:val="17"/>
              </w:rPr>
              <w:t>R05</w:t>
            </w:r>
          </w:p>
        </w:tc>
        <w:tc>
          <w:tcPr>
            <w:tcW w:type="dxa" w:w="1800"/>
            <w:vAlign w:val="center"/>
          </w:tcPr>
          <w:p>
            <w:r/>
            <w:r>
              <w:rPr>
                <w:b w:val="0"/>
                <w:sz w:val="17"/>
              </w:rPr>
              <w:t>VERIFIED</w:t>
            </w:r>
          </w:p>
        </w:tc>
        <w:tc>
          <w:tcPr>
            <w:tcW w:type="dxa" w:w="6192"/>
            <w:vAlign w:val="center"/>
          </w:tcPr>
          <w:p>
            <w:r/>
            <w:r>
              <w:rPr>
                <w:b w:val="0"/>
                <w:sz w:val="17"/>
              </w:rPr>
              <w:t>Webhook secret accepted through Authorization header; query-secret transport rejected.</w:t>
            </w:r>
          </w:p>
        </w:tc>
      </w:tr>
      <w:tr>
        <w:tc>
          <w:tcPr>
            <w:tcW w:type="dxa" w:w="1440"/>
            <w:vAlign w:val="center"/>
          </w:tcPr>
          <w:p>
            <w:r/>
            <w:r>
              <w:rPr>
                <w:b w:val="0"/>
                <w:sz w:val="17"/>
              </w:rPr>
              <w:t>R06</w:t>
            </w:r>
          </w:p>
        </w:tc>
        <w:tc>
          <w:tcPr>
            <w:tcW w:type="dxa" w:w="1800"/>
            <w:vAlign w:val="center"/>
          </w:tcPr>
          <w:p>
            <w:r/>
            <w:r>
              <w:rPr>
                <w:b w:val="0"/>
                <w:sz w:val="17"/>
              </w:rPr>
              <w:t>VERIFIED</w:t>
            </w:r>
          </w:p>
        </w:tc>
        <w:tc>
          <w:tcPr>
            <w:tcW w:type="dxa" w:w="6192"/>
            <w:vAlign w:val="center"/>
          </w:tcPr>
          <w:p>
            <w:r/>
            <w:r>
              <w:rPr>
                <w:b w:val="0"/>
                <w:sz w:val="17"/>
              </w:rPr>
              <w:t>Authoritative CCTV_RECORDINGS_ROOT and strict filesystem containment/realpath protection.</w:t>
            </w:r>
          </w:p>
        </w:tc>
      </w:tr>
      <w:tr>
        <w:tc>
          <w:tcPr>
            <w:tcW w:type="dxa" w:w="1440"/>
            <w:vAlign w:val="center"/>
          </w:tcPr>
          <w:p>
            <w:r/>
            <w:r>
              <w:rPr>
                <w:b w:val="0"/>
                <w:sz w:val="17"/>
              </w:rPr>
              <w:t>R07</w:t>
            </w:r>
          </w:p>
        </w:tc>
        <w:tc>
          <w:tcPr>
            <w:tcW w:type="dxa" w:w="1800"/>
            <w:vAlign w:val="center"/>
          </w:tcPr>
          <w:p>
            <w:r/>
            <w:r>
              <w:rPr>
                <w:b w:val="0"/>
                <w:sz w:val="17"/>
              </w:rPr>
              <w:t>OPEN</w:t>
            </w:r>
          </w:p>
        </w:tc>
        <w:tc>
          <w:tcPr>
            <w:tcW w:type="dxa" w:w="6192"/>
            <w:vAlign w:val="center"/>
          </w:tcPr>
          <w:p>
            <w:r/>
            <w:r>
              <w:rPr>
                <w:b w:val="0"/>
                <w:sz w:val="17"/>
              </w:rPr>
              <w:t>Remaining CCTV adversarial scenarios: recording IDOR, decommissioned node webhook behavior, nonce replay, deletion timing boundary, streamUrl credential test, opaque-path identity mismatch and future CCTV permission-boundary test.</w:t>
            </w:r>
          </w:p>
        </w:tc>
      </w:tr>
      <w:tr>
        <w:tc>
          <w:tcPr>
            <w:tcW w:type="dxa" w:w="1440"/>
            <w:vAlign w:val="center"/>
          </w:tcPr>
          <w:p>
            <w:r/>
            <w:r>
              <w:rPr>
                <w:b w:val="0"/>
                <w:sz w:val="17"/>
              </w:rPr>
              <w:t>R08</w:t>
            </w:r>
          </w:p>
        </w:tc>
        <w:tc>
          <w:tcPr>
            <w:tcW w:type="dxa" w:w="1800"/>
            <w:vAlign w:val="center"/>
          </w:tcPr>
          <w:p>
            <w:r/>
            <w:r>
              <w:rPr>
                <w:b w:val="0"/>
                <w:sz w:val="17"/>
              </w:rPr>
              <w:t>OPEN</w:t>
            </w:r>
          </w:p>
        </w:tc>
        <w:tc>
          <w:tcPr>
            <w:tcW w:type="dxa" w:w="6192"/>
            <w:vAlign w:val="center"/>
          </w:tcPr>
          <w:p>
            <w:r/>
            <w:r>
              <w:rPr>
                <w:b w:val="0"/>
                <w:sz w:val="17"/>
              </w:rPr>
              <w:t>Remaining S10 baseline work.</w:t>
            </w:r>
          </w:p>
        </w:tc>
      </w:tr>
      <w:tr>
        <w:tc>
          <w:tcPr>
            <w:tcW w:type="dxa" w:w="1440"/>
            <w:vAlign w:val="center"/>
          </w:tcPr>
          <w:p>
            <w:r/>
            <w:r>
              <w:rPr>
                <w:b w:val="0"/>
                <w:sz w:val="17"/>
              </w:rPr>
              <w:t>R09</w:t>
            </w:r>
          </w:p>
        </w:tc>
        <w:tc>
          <w:tcPr>
            <w:tcW w:type="dxa" w:w="1800"/>
            <w:vAlign w:val="center"/>
          </w:tcPr>
          <w:p>
            <w:r/>
            <w:r>
              <w:rPr>
                <w:b w:val="0"/>
                <w:sz w:val="17"/>
              </w:rPr>
              <w:t>OPEN</w:t>
            </w:r>
          </w:p>
        </w:tc>
        <w:tc>
          <w:tcPr>
            <w:tcW w:type="dxa" w:w="6192"/>
            <w:vAlign w:val="center"/>
          </w:tcPr>
          <w:p>
            <w:r/>
            <w:r>
              <w:rPr>
                <w:b w:val="0"/>
                <w:sz w:val="17"/>
              </w:rPr>
              <w:t>Remaining S10 baseline work.</w:t>
            </w:r>
          </w:p>
        </w:tc>
      </w:tr>
    </w:tbl>
    <w:p/>
    <w:p>
      <w:pPr>
        <w:spacing w:after="100"/>
      </w:pPr>
      <w:r>
        <w:t>The project therefore has meaningful CCTV security architecture, but the complete CCTV product is not yet certified end-to-end. The next CCTV work should continue from R07 rather than restart R01–R06.</w:t>
      </w:r>
    </w:p>
    <w:p>
      <w:pPr>
        <w:pStyle w:val="Heading1"/>
      </w:pPr>
      <w:r>
        <w:t>15. Stabilization Program — S1 to S17</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D9EAF7"/>
          </w:tcPr>
          <w:p>
            <w:r/>
            <w:r>
              <w:rPr>
                <w:b/>
                <w:sz w:val="17"/>
              </w:rPr>
              <w:t>Phase</w:t>
            </w:r>
          </w:p>
        </w:tc>
        <w:tc>
          <w:tcPr>
            <w:tcW w:type="dxa" w:w="2880"/>
            <w:vAlign w:val="center"/>
            <w:shd w:fill="D9EAF7"/>
          </w:tcPr>
          <w:p>
            <w:r/>
            <w:r>
              <w:rPr>
                <w:b/>
                <w:sz w:val="17"/>
              </w:rPr>
              <w:t>Purpose</w:t>
            </w:r>
          </w:p>
        </w:tc>
        <w:tc>
          <w:tcPr>
            <w:tcW w:type="dxa" w:w="5544"/>
            <w:vAlign w:val="center"/>
            <w:shd w:fill="D9EAF7"/>
          </w:tcPr>
          <w:p>
            <w:r/>
            <w:r>
              <w:rPr>
                <w:b/>
                <w:sz w:val="17"/>
              </w:rPr>
              <w:t>Current/target state</w:t>
            </w:r>
          </w:p>
        </w:tc>
      </w:tr>
      <w:tr>
        <w:tc>
          <w:tcPr>
            <w:tcW w:type="dxa" w:w="1008"/>
            <w:vAlign w:val="center"/>
          </w:tcPr>
          <w:p>
            <w:r/>
            <w:r>
              <w:rPr>
                <w:b w:val="0"/>
                <w:sz w:val="17"/>
              </w:rPr>
              <w:t>S1</w:t>
            </w:r>
          </w:p>
        </w:tc>
        <w:tc>
          <w:tcPr>
            <w:tcW w:type="dxa" w:w="2880"/>
            <w:vAlign w:val="center"/>
          </w:tcPr>
          <w:p>
            <w:r/>
            <w:r>
              <w:rPr>
                <w:b w:val="0"/>
                <w:sz w:val="17"/>
              </w:rPr>
              <w:t>Environment baseline</w:t>
            </w:r>
          </w:p>
        </w:tc>
        <w:tc>
          <w:tcPr>
            <w:tcW w:type="dxa" w:w="5544"/>
            <w:vAlign w:val="center"/>
          </w:tcPr>
          <w:p>
            <w:r/>
            <w:r>
              <w:rPr>
                <w:b w:val="0"/>
                <w:sz w:val="17"/>
              </w:rPr>
              <w:t>Historical baseline established; keep reproducible.</w:t>
            </w:r>
          </w:p>
        </w:tc>
      </w:tr>
      <w:tr>
        <w:tc>
          <w:tcPr>
            <w:tcW w:type="dxa" w:w="1008"/>
            <w:vAlign w:val="center"/>
          </w:tcPr>
          <w:p>
            <w:r/>
            <w:r>
              <w:rPr>
                <w:b w:val="0"/>
                <w:sz w:val="17"/>
              </w:rPr>
              <w:t>S2</w:t>
            </w:r>
          </w:p>
        </w:tc>
        <w:tc>
          <w:tcPr>
            <w:tcW w:type="dxa" w:w="2880"/>
            <w:vAlign w:val="center"/>
          </w:tcPr>
          <w:p>
            <w:r/>
            <w:r>
              <w:rPr>
                <w:b w:val="0"/>
                <w:sz w:val="17"/>
              </w:rPr>
              <w:t>Static analysis triage</w:t>
            </w:r>
          </w:p>
        </w:tc>
        <w:tc>
          <w:tcPr>
            <w:tcW w:type="dxa" w:w="5544"/>
            <w:vAlign w:val="center"/>
          </w:tcPr>
          <w:p>
            <w:r/>
            <w:r>
              <w:rPr>
                <w:b w:val="0"/>
                <w:sz w:val="17"/>
              </w:rPr>
              <w:t>Bounded remediation completed for important security-sensitive type/SQL issues; broader hygiene must still be governed.</w:t>
            </w:r>
          </w:p>
        </w:tc>
      </w:tr>
      <w:tr>
        <w:tc>
          <w:tcPr>
            <w:tcW w:type="dxa" w:w="1008"/>
            <w:vAlign w:val="center"/>
          </w:tcPr>
          <w:p>
            <w:r/>
            <w:r>
              <w:rPr>
                <w:b w:val="0"/>
                <w:sz w:val="17"/>
              </w:rPr>
              <w:t>S3</w:t>
            </w:r>
          </w:p>
        </w:tc>
        <w:tc>
          <w:tcPr>
            <w:tcW w:type="dxa" w:w="2880"/>
            <w:vAlign w:val="center"/>
          </w:tcPr>
          <w:p>
            <w:r/>
            <w:r>
              <w:rPr>
                <w:b w:val="0"/>
                <w:sz w:val="17"/>
              </w:rPr>
              <w:t>Five-way DB reconciliation</w:t>
            </w:r>
          </w:p>
        </w:tc>
        <w:tc>
          <w:tcPr>
            <w:tcW w:type="dxa" w:w="5544"/>
            <w:vAlign w:val="center"/>
          </w:tcPr>
          <w:p>
            <w:r/>
            <w:r>
              <w:rPr>
                <w:b w:val="0"/>
                <w:sz w:val="17"/>
              </w:rPr>
              <w:t>Canonical migration/schema/live DB reconciliation; maintain evidence.</w:t>
            </w:r>
          </w:p>
        </w:tc>
      </w:tr>
      <w:tr>
        <w:tc>
          <w:tcPr>
            <w:tcW w:type="dxa" w:w="1008"/>
            <w:vAlign w:val="center"/>
          </w:tcPr>
          <w:p>
            <w:r/>
            <w:r>
              <w:rPr>
                <w:b w:val="0"/>
                <w:sz w:val="17"/>
              </w:rPr>
              <w:t>S3.1</w:t>
            </w:r>
          </w:p>
        </w:tc>
        <w:tc>
          <w:tcPr>
            <w:tcW w:type="dxa" w:w="2880"/>
            <w:vAlign w:val="center"/>
          </w:tcPr>
          <w:p>
            <w:r/>
            <w:r>
              <w:rPr>
                <w:b w:val="0"/>
                <w:sz w:val="17"/>
              </w:rPr>
              <w:t>Migration operational safety</w:t>
            </w:r>
          </w:p>
        </w:tc>
        <w:tc>
          <w:tcPr>
            <w:tcW w:type="dxa" w:w="5544"/>
            <w:vAlign w:val="center"/>
          </w:tcPr>
          <w:p>
            <w:r/>
            <w:r>
              <w:rPr>
                <w:b w:val="0"/>
                <w:sz w:val="17"/>
              </w:rPr>
              <w:t>Empty/disposable database deployment safety established.</w:t>
            </w:r>
          </w:p>
        </w:tc>
      </w:tr>
      <w:tr>
        <w:tc>
          <w:tcPr>
            <w:tcW w:type="dxa" w:w="1008"/>
            <w:vAlign w:val="center"/>
          </w:tcPr>
          <w:p>
            <w:r/>
            <w:r>
              <w:rPr>
                <w:b w:val="0"/>
                <w:sz w:val="17"/>
              </w:rPr>
              <w:t>S4</w:t>
            </w:r>
          </w:p>
        </w:tc>
        <w:tc>
          <w:tcPr>
            <w:tcW w:type="dxa" w:w="2880"/>
            <w:vAlign w:val="center"/>
          </w:tcPr>
          <w:p>
            <w:r/>
            <w:r>
              <w:rPr>
                <w:b w:val="0"/>
                <w:sz w:val="17"/>
              </w:rPr>
              <w:t>Authorization / resource access</w:t>
            </w:r>
          </w:p>
        </w:tc>
        <w:tc>
          <w:tcPr>
            <w:tcW w:type="dxa" w:w="5544"/>
            <w:vAlign w:val="center"/>
          </w:tcPr>
          <w:p>
            <w:r/>
            <w:r>
              <w:rPr>
                <w:b w:val="0"/>
                <w:sz w:val="17"/>
              </w:rPr>
              <w:t>Strong adversarial work exists; continue runtime proof where required.</w:t>
            </w:r>
          </w:p>
        </w:tc>
      </w:tr>
      <w:tr>
        <w:tc>
          <w:tcPr>
            <w:tcW w:type="dxa" w:w="1008"/>
            <w:vAlign w:val="center"/>
          </w:tcPr>
          <w:p>
            <w:r/>
            <w:r>
              <w:rPr>
                <w:b w:val="0"/>
                <w:sz w:val="17"/>
              </w:rPr>
              <w:t>S5</w:t>
            </w:r>
          </w:p>
        </w:tc>
        <w:tc>
          <w:tcPr>
            <w:tcW w:type="dxa" w:w="2880"/>
            <w:vAlign w:val="center"/>
          </w:tcPr>
          <w:p>
            <w:r/>
            <w:r>
              <w:rPr>
                <w:b w:val="0"/>
                <w:sz w:val="17"/>
              </w:rPr>
              <w:t>Authentication/session integrity</w:t>
            </w:r>
          </w:p>
        </w:tc>
        <w:tc>
          <w:tcPr>
            <w:tcW w:type="dxa" w:w="5544"/>
            <w:vAlign w:val="center"/>
          </w:tcPr>
          <w:p>
            <w:r/>
            <w:r>
              <w:rPr>
                <w:b w:val="0"/>
                <w:sz w:val="17"/>
              </w:rPr>
              <w:t>Clerk lifecycle and identity mapping require production-like evidence.</w:t>
            </w:r>
          </w:p>
        </w:tc>
      </w:tr>
      <w:tr>
        <w:tc>
          <w:tcPr>
            <w:tcW w:type="dxa" w:w="1008"/>
            <w:vAlign w:val="center"/>
          </w:tcPr>
          <w:p>
            <w:r/>
            <w:r>
              <w:rPr>
                <w:b w:val="0"/>
                <w:sz w:val="17"/>
              </w:rPr>
              <w:t>S6</w:t>
            </w:r>
          </w:p>
        </w:tc>
        <w:tc>
          <w:tcPr>
            <w:tcW w:type="dxa" w:w="2880"/>
            <w:vAlign w:val="center"/>
          </w:tcPr>
          <w:p>
            <w:r/>
            <w:r>
              <w:rPr>
                <w:b w:val="0"/>
                <w:sz w:val="17"/>
              </w:rPr>
              <w:t>Tenant isolation/RLS</w:t>
            </w:r>
          </w:p>
        </w:tc>
        <w:tc>
          <w:tcPr>
            <w:tcW w:type="dxa" w:w="5544"/>
            <w:vAlign w:val="center"/>
          </w:tcPr>
          <w:p>
            <w:r/>
            <w:r>
              <w:rPr>
                <w:b w:val="0"/>
                <w:sz w:val="17"/>
              </w:rPr>
              <w:t>Strong adversarial foundation; continue live realistic validation.</w:t>
            </w:r>
          </w:p>
        </w:tc>
      </w:tr>
      <w:tr>
        <w:tc>
          <w:tcPr>
            <w:tcW w:type="dxa" w:w="1008"/>
            <w:vAlign w:val="center"/>
          </w:tcPr>
          <w:p>
            <w:r/>
            <w:r>
              <w:rPr>
                <w:b w:val="0"/>
                <w:sz w:val="17"/>
              </w:rPr>
              <w:t>S7</w:t>
            </w:r>
          </w:p>
        </w:tc>
        <w:tc>
          <w:tcPr>
            <w:tcW w:type="dxa" w:w="2880"/>
            <w:vAlign w:val="center"/>
          </w:tcPr>
          <w:p>
            <w:r/>
            <w:r>
              <w:rPr>
                <w:b w:val="0"/>
                <w:sz w:val="17"/>
              </w:rPr>
              <w:t>Provider degradation</w:t>
            </w:r>
          </w:p>
        </w:tc>
        <w:tc>
          <w:tcPr>
            <w:tcW w:type="dxa" w:w="5544"/>
            <w:vAlign w:val="center"/>
          </w:tcPr>
          <w:p>
            <w:r/>
            <w:r>
              <w:rPr>
                <w:b w:val="0"/>
                <w:sz w:val="17"/>
              </w:rPr>
              <w:t>Provider matrix and demo/degradation behavior require full evidence.</w:t>
            </w:r>
          </w:p>
        </w:tc>
      </w:tr>
      <w:tr>
        <w:tc>
          <w:tcPr>
            <w:tcW w:type="dxa" w:w="1008"/>
            <w:vAlign w:val="center"/>
          </w:tcPr>
          <w:p>
            <w:r/>
            <w:r>
              <w:rPr>
                <w:b w:val="0"/>
                <w:sz w:val="17"/>
              </w:rPr>
              <w:t>S8</w:t>
            </w:r>
          </w:p>
        </w:tc>
        <w:tc>
          <w:tcPr>
            <w:tcW w:type="dxa" w:w="2880"/>
            <w:vAlign w:val="center"/>
          </w:tcPr>
          <w:p>
            <w:r/>
            <w:r>
              <w:rPr>
                <w:b w:val="0"/>
                <w:sz w:val="17"/>
              </w:rPr>
              <w:t>Vercel compatibility</w:t>
            </w:r>
          </w:p>
        </w:tc>
        <w:tc>
          <w:tcPr>
            <w:tcW w:type="dxa" w:w="5544"/>
            <w:vAlign w:val="center"/>
          </w:tcPr>
          <w:p>
            <w:r/>
            <w:r>
              <w:rPr>
                <w:b w:val="0"/>
                <w:sz w:val="17"/>
              </w:rPr>
              <w:t>Major serverless architecture corrections completed; preserve boundary.</w:t>
            </w:r>
          </w:p>
        </w:tc>
      </w:tr>
      <w:tr>
        <w:tc>
          <w:tcPr>
            <w:tcW w:type="dxa" w:w="1008"/>
            <w:vAlign w:val="center"/>
          </w:tcPr>
          <w:p>
            <w:r/>
            <w:r>
              <w:rPr>
                <w:b w:val="0"/>
                <w:sz w:val="17"/>
              </w:rPr>
              <w:t>S9</w:t>
            </w:r>
          </w:p>
        </w:tc>
        <w:tc>
          <w:tcPr>
            <w:tcW w:type="dxa" w:w="2880"/>
            <w:vAlign w:val="center"/>
          </w:tcPr>
          <w:p>
            <w:r/>
            <w:r>
              <w:rPr>
                <w:b w:val="0"/>
                <w:sz w:val="17"/>
              </w:rPr>
              <w:t>Worker architecture/fencing</w:t>
            </w:r>
          </w:p>
        </w:tc>
        <w:tc>
          <w:tcPr>
            <w:tcW w:type="dxa" w:w="5544"/>
            <w:vAlign w:val="center"/>
          </w:tcPr>
          <w:p>
            <w:r/>
            <w:r>
              <w:rPr>
                <w:b w:val="0"/>
                <w:sz w:val="17"/>
              </w:rPr>
              <w:t>Persistent worker/fencing architecture substantially established and tested.</w:t>
            </w:r>
          </w:p>
        </w:tc>
      </w:tr>
      <w:tr>
        <w:tc>
          <w:tcPr>
            <w:tcW w:type="dxa" w:w="1008"/>
            <w:vAlign w:val="center"/>
          </w:tcPr>
          <w:p>
            <w:r/>
            <w:r>
              <w:rPr>
                <w:b w:val="0"/>
                <w:sz w:val="17"/>
              </w:rPr>
              <w:t>S10</w:t>
            </w:r>
          </w:p>
        </w:tc>
        <w:tc>
          <w:tcPr>
            <w:tcW w:type="dxa" w:w="2880"/>
            <w:vAlign w:val="center"/>
          </w:tcPr>
          <w:p>
            <w:r/>
            <w:r>
              <w:rPr>
                <w:b w:val="0"/>
                <w:sz w:val="17"/>
              </w:rPr>
              <w:t>CCTV happy path/security</w:t>
            </w:r>
          </w:p>
        </w:tc>
        <w:tc>
          <w:tcPr>
            <w:tcW w:type="dxa" w:w="5544"/>
            <w:vAlign w:val="center"/>
          </w:tcPr>
          <w:p>
            <w:r/>
            <w:r>
              <w:rPr>
                <w:b w:val="0"/>
                <w:sz w:val="17"/>
              </w:rPr>
              <w:t>R01–R06 verified; R07–R09 remain.</w:t>
            </w:r>
          </w:p>
        </w:tc>
      </w:tr>
      <w:tr>
        <w:tc>
          <w:tcPr>
            <w:tcW w:type="dxa" w:w="1008"/>
            <w:vAlign w:val="center"/>
          </w:tcPr>
          <w:p>
            <w:r/>
            <w:r>
              <w:rPr>
                <w:b w:val="0"/>
                <w:sz w:val="17"/>
              </w:rPr>
              <w:t>S11</w:t>
            </w:r>
          </w:p>
        </w:tc>
        <w:tc>
          <w:tcPr>
            <w:tcW w:type="dxa" w:w="2880"/>
            <w:vAlign w:val="center"/>
          </w:tcPr>
          <w:p>
            <w:r/>
            <w:r>
              <w:rPr>
                <w:b w:val="0"/>
                <w:sz w:val="17"/>
              </w:rPr>
              <w:t>Chaos/data-loss testing</w:t>
            </w:r>
          </w:p>
        </w:tc>
        <w:tc>
          <w:tcPr>
            <w:tcW w:type="dxa" w:w="5544"/>
            <w:vAlign w:val="center"/>
          </w:tcPr>
          <w:p>
            <w:r/>
            <w:r>
              <w:rPr>
                <w:b w:val="0"/>
                <w:sz w:val="17"/>
              </w:rPr>
              <w:t>Major remaining proof area: duplicate/replay/failure/disk/upload/worker/AI scenarios.</w:t>
            </w:r>
          </w:p>
        </w:tc>
      </w:tr>
      <w:tr>
        <w:tc>
          <w:tcPr>
            <w:tcW w:type="dxa" w:w="1008"/>
            <w:vAlign w:val="center"/>
          </w:tcPr>
          <w:p>
            <w:r/>
            <w:r>
              <w:rPr>
                <w:b w:val="0"/>
                <w:sz w:val="17"/>
              </w:rPr>
              <w:t>S12</w:t>
            </w:r>
          </w:p>
        </w:tc>
        <w:tc>
          <w:tcPr>
            <w:tcW w:type="dxa" w:w="2880"/>
            <w:vAlign w:val="center"/>
          </w:tcPr>
          <w:p>
            <w:r/>
            <w:r>
              <w:rPr>
                <w:b w:val="0"/>
                <w:sz w:val="17"/>
              </w:rPr>
              <w:t>Realtime security/reliability</w:t>
            </w:r>
          </w:p>
        </w:tc>
        <w:tc>
          <w:tcPr>
            <w:tcW w:type="dxa" w:w="5544"/>
            <w:vAlign w:val="center"/>
          </w:tcPr>
          <w:p>
            <w:r/>
            <w:r>
              <w:rPr>
                <w:b w:val="0"/>
                <w:sz w:val="17"/>
              </w:rPr>
              <w:t>Select/finalize provider and prove tenant/channel authorization and degradation.</w:t>
            </w:r>
          </w:p>
        </w:tc>
      </w:tr>
      <w:tr>
        <w:tc>
          <w:tcPr>
            <w:tcW w:type="dxa" w:w="1008"/>
            <w:vAlign w:val="center"/>
          </w:tcPr>
          <w:p>
            <w:r/>
            <w:r>
              <w:rPr>
                <w:b w:val="0"/>
                <w:sz w:val="17"/>
              </w:rPr>
              <w:t>S13</w:t>
            </w:r>
          </w:p>
        </w:tc>
        <w:tc>
          <w:tcPr>
            <w:tcW w:type="dxa" w:w="2880"/>
            <w:vAlign w:val="center"/>
          </w:tcPr>
          <w:p>
            <w:r/>
            <w:r>
              <w:rPr>
                <w:b w:val="0"/>
                <w:sz w:val="17"/>
              </w:rPr>
              <w:t>Production cleanup</w:t>
            </w:r>
          </w:p>
        </w:tc>
        <w:tc>
          <w:tcPr>
            <w:tcW w:type="dxa" w:w="5544"/>
            <w:vAlign w:val="center"/>
          </w:tcPr>
          <w:p>
            <w:r/>
            <w:r>
              <w:rPr>
                <w:b w:val="0"/>
                <w:sz w:val="17"/>
              </w:rPr>
              <w:t>Remove/classify unsafe mocks, obsolete routes, debug paths, stale architecture and legacy remnants.</w:t>
            </w:r>
          </w:p>
        </w:tc>
      </w:tr>
      <w:tr>
        <w:tc>
          <w:tcPr>
            <w:tcW w:type="dxa" w:w="1008"/>
            <w:vAlign w:val="center"/>
          </w:tcPr>
          <w:p>
            <w:r/>
            <w:r>
              <w:rPr>
                <w:b w:val="0"/>
                <w:sz w:val="17"/>
              </w:rPr>
              <w:t>S14</w:t>
            </w:r>
          </w:p>
        </w:tc>
        <w:tc>
          <w:tcPr>
            <w:tcW w:type="dxa" w:w="2880"/>
            <w:vAlign w:val="center"/>
          </w:tcPr>
          <w:p>
            <w:r/>
            <w:r>
              <w:rPr>
                <w:b w:val="0"/>
                <w:sz w:val="17"/>
              </w:rPr>
              <w:t>Environment/deployment audit</w:t>
            </w:r>
          </w:p>
        </w:tc>
        <w:tc>
          <w:tcPr>
            <w:tcW w:type="dxa" w:w="5544"/>
            <w:vAlign w:val="center"/>
          </w:tcPr>
          <w:p>
            <w:r/>
            <w:r>
              <w:rPr>
                <w:b w:val="0"/>
                <w:sz w:val="17"/>
              </w:rPr>
              <w:t>Local, CI, preview, Vercel production, workers, DB, Redis, storage, AI, email, telephony, realtime and MediaMTX.</w:t>
            </w:r>
          </w:p>
        </w:tc>
      </w:tr>
      <w:tr>
        <w:tc>
          <w:tcPr>
            <w:tcW w:type="dxa" w:w="1008"/>
            <w:vAlign w:val="center"/>
          </w:tcPr>
          <w:p>
            <w:r/>
            <w:r>
              <w:rPr>
                <w:b w:val="0"/>
                <w:sz w:val="17"/>
              </w:rPr>
              <w:t>S15</w:t>
            </w:r>
          </w:p>
        </w:tc>
        <w:tc>
          <w:tcPr>
            <w:tcW w:type="dxa" w:w="2880"/>
            <w:vAlign w:val="center"/>
          </w:tcPr>
          <w:p>
            <w:r/>
            <w:r>
              <w:rPr>
                <w:b w:val="0"/>
                <w:sz w:val="17"/>
              </w:rPr>
              <w:t>Critical-path matrix</w:t>
            </w:r>
          </w:p>
        </w:tc>
        <w:tc>
          <w:tcPr>
            <w:tcW w:type="dxa" w:w="5544"/>
            <w:vAlign w:val="center"/>
          </w:tcPr>
          <w:p>
            <w:r/>
            <w:r>
              <w:rPr>
                <w:b w:val="0"/>
                <w:sz w:val="17"/>
              </w:rPr>
              <w:t>Executable success/failure matrix across auth, CRM, communication, CCTV, workers, webhooks, AI and realtime.</w:t>
            </w:r>
          </w:p>
        </w:tc>
      </w:tr>
      <w:tr>
        <w:tc>
          <w:tcPr>
            <w:tcW w:type="dxa" w:w="1008"/>
            <w:vAlign w:val="center"/>
          </w:tcPr>
          <w:p>
            <w:r/>
            <w:r>
              <w:rPr>
                <w:b w:val="0"/>
                <w:sz w:val="17"/>
              </w:rPr>
              <w:t>S16</w:t>
            </w:r>
          </w:p>
        </w:tc>
        <w:tc>
          <w:tcPr>
            <w:tcW w:type="dxa" w:w="2880"/>
            <w:vAlign w:val="center"/>
          </w:tcPr>
          <w:p>
            <w:r/>
            <w:r>
              <w:rPr>
                <w:b w:val="0"/>
                <w:sz w:val="17"/>
              </w:rPr>
              <w:t>Full verification</w:t>
            </w:r>
          </w:p>
        </w:tc>
        <w:tc>
          <w:tcPr>
            <w:tcW w:type="dxa" w:w="5544"/>
            <w:vAlign w:val="center"/>
          </w:tcPr>
          <w:p>
            <w:r/>
            <w:r>
              <w:rPr>
                <w:b w:val="0"/>
                <w:sz w:val="17"/>
              </w:rPr>
              <w:t>Clean install/build/lint/migrations/tests with no unexplained failures.</w:t>
            </w:r>
          </w:p>
        </w:tc>
      </w:tr>
      <w:tr>
        <w:tc>
          <w:tcPr>
            <w:tcW w:type="dxa" w:w="1008"/>
            <w:vAlign w:val="center"/>
          </w:tcPr>
          <w:p>
            <w:r/>
            <w:r>
              <w:rPr>
                <w:b w:val="0"/>
                <w:sz w:val="17"/>
              </w:rPr>
              <w:t>S17</w:t>
            </w:r>
          </w:p>
        </w:tc>
        <w:tc>
          <w:tcPr>
            <w:tcW w:type="dxa" w:w="2880"/>
            <w:vAlign w:val="center"/>
          </w:tcPr>
          <w:p>
            <w:r/>
            <w:r>
              <w:rPr>
                <w:b w:val="0"/>
                <w:sz w:val="17"/>
              </w:rPr>
              <w:t>Final freeze</w:t>
            </w:r>
          </w:p>
        </w:tc>
        <w:tc>
          <w:tcPr>
            <w:tcW w:type="dxa" w:w="5544"/>
            <w:vAlign w:val="center"/>
          </w:tcPr>
          <w:p>
            <w:r/>
            <w:r>
              <w:rPr>
                <w:b w:val="0"/>
                <w:sz w:val="17"/>
              </w:rPr>
              <w:t>Produce definitive stabilization report and Freeze/Not-Freeze decision.</w:t>
            </w:r>
          </w:p>
        </w:tc>
      </w:tr>
    </w:tbl>
    <w:p/>
    <w:p>
      <w:pPr>
        <w:spacing w:after="100"/>
      </w:pPr>
      <w:r>
        <w:t>The roadmap explicitly states that only after S17 should broad feature expansion resume. fileciteturn205file13</w:t>
      </w:r>
    </w:p>
    <w:p>
      <w:pPr>
        <w:pStyle w:val="Heading1"/>
      </w:pPr>
      <w:r>
        <w:t>16. Remaining Product Roadmap After Stabilization</w:t>
      </w:r>
    </w:p>
    <w:p>
      <w:pPr>
        <w:pStyle w:val="Heading2"/>
      </w:pPr>
      <w:r>
        <w:t>Phase A — Finish stabilization</w:t>
      </w:r>
    </w:p>
    <w:p>
      <w:pPr>
        <w:pStyle w:val="ListBullet"/>
        <w:spacing w:after="40"/>
      </w:pPr>
      <w:r>
        <w:t>Close R07–R09 and remaining S10 evidence.</w:t>
      </w:r>
    </w:p>
    <w:p>
      <w:pPr>
        <w:pStyle w:val="ListBullet"/>
        <w:spacing w:after="40"/>
      </w:pPr>
      <w:r>
        <w:t>Complete S11 chaos and data-loss testing.</w:t>
      </w:r>
    </w:p>
    <w:p>
      <w:pPr>
        <w:pStyle w:val="ListBullet"/>
        <w:spacing w:after="40"/>
      </w:pPr>
      <w:r>
        <w:t>Complete S12 managed realtime provider security/reliability validation.</w:t>
      </w:r>
    </w:p>
    <w:p>
      <w:pPr>
        <w:pStyle w:val="ListBullet"/>
        <w:spacing w:after="40"/>
      </w:pPr>
      <w:r>
        <w:t>Complete S13 production cleanup.</w:t>
      </w:r>
    </w:p>
    <w:p>
      <w:pPr>
        <w:pStyle w:val="ListBullet"/>
        <w:spacing w:after="40"/>
      </w:pPr>
      <w:r>
        <w:t>Complete S14 deployment/environment smoke testing.</w:t>
      </w:r>
    </w:p>
    <w:p>
      <w:pPr>
        <w:pStyle w:val="ListBullet"/>
        <w:spacing w:after="40"/>
      </w:pPr>
      <w:r>
        <w:t>Complete S15 critical-path executable matrix.</w:t>
      </w:r>
    </w:p>
    <w:p>
      <w:pPr>
        <w:pStyle w:val="ListBullet"/>
        <w:spacing w:after="40"/>
      </w:pPr>
      <w:r>
        <w:t>Run S16 clean verification and resolve unexplained failures.</w:t>
      </w:r>
    </w:p>
    <w:p>
      <w:pPr>
        <w:pStyle w:val="ListBullet"/>
        <w:spacing w:after="40"/>
      </w:pPr>
      <w:r>
        <w:t>Issue S17 stabilization/freeze report.</w:t>
      </w:r>
    </w:p>
    <w:p>
      <w:pPr>
        <w:pStyle w:val="Heading2"/>
      </w:pPr>
      <w:r>
        <w:t>Phase B — Complete the Business CRM</w:t>
      </w:r>
    </w:p>
    <w:p>
      <w:pPr>
        <w:pStyle w:val="ListBullet"/>
        <w:spacing w:after="40"/>
      </w:pPr>
      <w:r>
        <w:t>Finish customer/contact/lead/deal operational workflows, not only screens.</w:t>
      </w:r>
    </w:p>
    <w:p>
      <w:pPr>
        <w:pStyle w:val="ListBullet"/>
        <w:spacing w:after="40"/>
      </w:pPr>
      <w:r>
        <w:t>Complete ticketing/incidents/tasks/activity workflows where still incomplete.</w:t>
      </w:r>
    </w:p>
    <w:p>
      <w:pPr>
        <w:pStyle w:val="ListBullet"/>
        <w:spacing w:after="40"/>
      </w:pPr>
      <w:r>
        <w:t>Finish search, filters, pagination and empty/error/loading states across modules.</w:t>
      </w:r>
    </w:p>
    <w:p>
      <w:pPr>
        <w:pStyle w:val="ListBullet"/>
        <w:spacing w:after="40"/>
      </w:pPr>
      <w:r>
        <w:t>Complete quotation → approval → revenue lifecycle.</w:t>
      </w:r>
    </w:p>
    <w:p>
      <w:pPr>
        <w:pStyle w:val="ListBullet"/>
        <w:spacing w:after="40"/>
      </w:pPr>
      <w:r>
        <w:t>Complete reporting and dashboard workflows.</w:t>
      </w:r>
    </w:p>
    <w:p>
      <w:pPr>
        <w:pStyle w:val="ListBullet"/>
        <w:spacing w:after="40"/>
      </w:pPr>
      <w:r>
        <w:t>Ensure permissions/auditability exist across every business operation.</w:t>
      </w:r>
    </w:p>
    <w:p>
      <w:pPr>
        <w:pStyle w:val="ListBullet"/>
        <w:spacing w:after="40"/>
      </w:pPr>
      <w:r>
        <w:t>Verify performance/concurrency for high-volume lists and timelines.</w:t>
      </w:r>
    </w:p>
    <w:p>
      <w:pPr>
        <w:pStyle w:val="Heading2"/>
      </w:pPr>
      <w:r>
        <w:t>Phase C — Complete Communication &amp; Telephony</w:t>
      </w:r>
    </w:p>
    <w:p>
      <w:pPr>
        <w:pStyle w:val="ListBullet"/>
        <w:spacing w:after="40"/>
      </w:pPr>
      <w:r>
        <w:t>Finalize internal employee calling and messaging.</w:t>
      </w:r>
    </w:p>
    <w:p>
      <w:pPr>
        <w:pStyle w:val="ListBullet"/>
        <w:spacing w:after="40"/>
      </w:pPr>
      <w:r>
        <w:t>Finalize customer/contact calling and communication history.</w:t>
      </w:r>
    </w:p>
    <w:p>
      <w:pPr>
        <w:pStyle w:val="ListBullet"/>
        <w:spacing w:after="40"/>
      </w:pPr>
      <w:r>
        <w:t>Complete unified inbox, threads, attachments and timeline integration.</w:t>
      </w:r>
    </w:p>
    <w:p>
      <w:pPr>
        <w:pStyle w:val="ListBullet"/>
        <w:spacing w:after="40"/>
      </w:pPr>
      <w:r>
        <w:t>Complete email/SMS/external messaging provider adapters.</w:t>
      </w:r>
    </w:p>
    <w:p>
      <w:pPr>
        <w:pStyle w:val="ListBullet"/>
        <w:spacing w:after="40"/>
      </w:pPr>
      <w:r>
        <w:t>Complete inbound webhook, call recording, retry, idempotency and failure-state workflows.</w:t>
      </w:r>
    </w:p>
    <w:p>
      <w:pPr>
        <w:pStyle w:val="ListBullet"/>
        <w:spacing w:after="40"/>
      </w:pPr>
      <w:r>
        <w:t>Complete presence/realtime state and permission enforcement.</w:t>
      </w:r>
    </w:p>
    <w:p>
      <w:pPr>
        <w:pStyle w:val="ListBullet"/>
        <w:spacing w:after="40"/>
      </w:pPr>
      <w:r>
        <w:t>Run real-provider certification only when client/development credentials are available.</w:t>
      </w:r>
    </w:p>
    <w:p>
      <w:pPr>
        <w:pStyle w:val="Heading2"/>
      </w:pPr>
      <w:r>
        <w:t>Phase D — Complete CCTV</w:t>
      </w:r>
    </w:p>
    <w:p>
      <w:pPr>
        <w:pStyle w:val="ListBullet"/>
        <w:spacing w:after="40"/>
      </w:pPr>
      <w:r>
        <w:t>Deploy/validate MediaMTX and persistent external worker infrastructure.</w:t>
      </w:r>
    </w:p>
    <w:p>
      <w:pPr>
        <w:pStyle w:val="ListBullet"/>
        <w:spacing w:after="40"/>
      </w:pPr>
      <w:r>
        <w:t>Complete live WebRTC player and stream lifecycle.</w:t>
      </w:r>
    </w:p>
    <w:p>
      <w:pPr>
        <w:pStyle w:val="ListBullet"/>
        <w:spacing w:after="40"/>
      </w:pPr>
      <w:r>
        <w:t>Complete camera groups/areas, health, recordings, retention, incidents and alerts.</w:t>
      </w:r>
    </w:p>
    <w:p>
      <w:pPr>
        <w:pStyle w:val="ListBullet"/>
        <w:spacing w:after="40"/>
      </w:pPr>
      <w:r>
        <w:t>Complete secure recording downloads and operator workflows.</w:t>
      </w:r>
    </w:p>
    <w:p>
      <w:pPr>
        <w:pStyle w:val="ListBullet"/>
        <w:spacing w:after="40"/>
      </w:pPr>
      <w:r>
        <w:t>Complete S10 R07–R09 and S11 chaos/data-loss testing.</w:t>
      </w:r>
    </w:p>
    <w:p>
      <w:pPr>
        <w:pStyle w:val="ListBullet"/>
        <w:spacing w:after="40"/>
      </w:pPr>
      <w:r>
        <w:t>Add AI-event integration after recording/worker pipeline is proven.</w:t>
      </w:r>
    </w:p>
    <w:p>
      <w:pPr>
        <w:pStyle w:val="ListBullet"/>
        <w:spacing w:after="40"/>
      </w:pPr>
      <w:r>
        <w:t>Document site-specific networking, camera credentials and node provisioning.</w:t>
      </w:r>
    </w:p>
    <w:p>
      <w:pPr>
        <w:pStyle w:val="Heading2"/>
      </w:pPr>
      <w:r>
        <w:t>Phase E — Complete AI</w:t>
      </w:r>
    </w:p>
    <w:p>
      <w:pPr>
        <w:pStyle w:val="ListBullet"/>
        <w:spacing w:after="40"/>
      </w:pPr>
      <w:r>
        <w:t>Finalize provider abstraction and credential/degradation matrix.</w:t>
      </w:r>
    </w:p>
    <w:p>
      <w:pPr>
        <w:pStyle w:val="ListBullet"/>
        <w:spacing w:after="40"/>
      </w:pPr>
      <w:r>
        <w:t>Complete controlled AI assistant and permission-aware tools.</w:t>
      </w:r>
    </w:p>
    <w:p>
      <w:pPr>
        <w:pStyle w:val="ListBullet"/>
        <w:spacing w:after="40"/>
      </w:pPr>
      <w:r>
        <w:t>Add CRM summaries, security summaries and report assistance.</w:t>
      </w:r>
    </w:p>
    <w:p>
      <w:pPr>
        <w:pStyle w:val="ListBullet"/>
        <w:spacing w:after="40"/>
      </w:pPr>
      <w:r>
        <w:t>Ensure every AI tool call is tenant-aware, authorized and audited.</w:t>
      </w:r>
    </w:p>
    <w:p>
      <w:pPr>
        <w:pStyle w:val="ListBullet"/>
        <w:spacing w:after="40"/>
      </w:pPr>
      <w:r>
        <w:t>Complete AI worker reliability, timeout, retry and stale-write behavior.</w:t>
      </w:r>
    </w:p>
    <w:p>
      <w:pPr>
        <w:pStyle w:val="ListBullet"/>
        <w:spacing w:after="40"/>
      </w:pPr>
      <w:r>
        <w:t>Integrate CCTV AI analysis jobs/events.</w:t>
      </w:r>
    </w:p>
    <w:p>
      <w:pPr>
        <w:pStyle w:val="ListBullet"/>
        <w:spacing w:after="40"/>
      </w:pPr>
      <w:r>
        <w:t>Later: advanced computer vision—person, vehicle, fire, weapon detection and smart search.</w:t>
      </w:r>
    </w:p>
    <w:p>
      <w:pPr>
        <w:pStyle w:val="Heading2"/>
      </w:pPr>
      <w:r>
        <w:t>Phase F — Workforce, realtime, reporting &amp; enterprise operations</w:t>
      </w:r>
    </w:p>
    <w:p>
      <w:pPr>
        <w:pStyle w:val="ListBullet"/>
        <w:spacing w:after="40"/>
      </w:pPr>
      <w:r>
        <w:t>Complete Company → Department → Department Head → Employee invitation/onboarding flow.</w:t>
      </w:r>
    </w:p>
    <w:p>
      <w:pPr>
        <w:pStyle w:val="ListBullet"/>
        <w:spacing w:after="40"/>
      </w:pPr>
      <w:r>
        <w:t>Finalize realtime provider and channel authorization.</w:t>
      </w:r>
    </w:p>
    <w:p>
      <w:pPr>
        <w:pStyle w:val="ListBullet"/>
        <w:spacing w:after="40"/>
      </w:pPr>
      <w:r>
        <w:t>Complete notification/alert center and operational delivery states.</w:t>
      </w:r>
    </w:p>
    <w:p>
      <w:pPr>
        <w:pStyle w:val="ListBullet"/>
        <w:spacing w:after="40"/>
      </w:pPr>
      <w:r>
        <w:t>Complete reporting/analytics dashboards.</w:t>
      </w:r>
    </w:p>
    <w:p>
      <w:pPr>
        <w:pStyle w:val="ListBullet"/>
        <w:spacing w:after="40"/>
      </w:pPr>
      <w:r>
        <w:t>Complete observability, queue health, worker health, database saturation and error monitoring.</w:t>
      </w:r>
    </w:p>
    <w:p>
      <w:pPr>
        <w:pStyle w:val="ListBullet"/>
        <w:spacing w:after="40"/>
      </w:pPr>
      <w:r>
        <w:t>Complete backup/PITR, RPO/RTO and recovery runbooks.</w:t>
      </w:r>
    </w:p>
    <w:p>
      <w:pPr>
        <w:pStyle w:val="ListBullet"/>
        <w:spacing w:after="40"/>
      </w:pPr>
      <w:r>
        <w:t>Complete concurrency/load testing against the final deployment topology.</w:t>
      </w:r>
    </w:p>
    <w:p>
      <w:pPr>
        <w:pStyle w:val="Heading1"/>
      </w:pPr>
      <w:r>
        <w:t>17. First-Company Provisioning Blueprint</w:t>
      </w:r>
    </w:p>
    <w:p>
      <w:pPr>
        <w:spacing w:after="100"/>
      </w:pPr>
      <w:r>
        <w:t>A future client should not require a code fork. The intended provisioning process is configuration-driven.</w:t>
      </w:r>
    </w:p>
    <w:p>
      <w:pPr>
        <w:spacing w:after="100"/>
      </w:pPr>
      <w:r>
        <w:t>Client engagement → requirements collection → infrastructure selection → isolated environment → database → migrations → company record → founding admin/head → Clerk → providers → domain/email → Redis/storage → MediaMTX/workers if required → smoke test → security test → operational handover</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D9EAF7"/>
          </w:tcPr>
          <w:p>
            <w:r/>
            <w:r>
              <w:rPr>
                <w:b/>
                <w:sz w:val="17"/>
              </w:rPr>
              <w:t>Provisioning input</w:t>
            </w:r>
          </w:p>
        </w:tc>
        <w:tc>
          <w:tcPr>
            <w:tcW w:type="dxa" w:w="6480"/>
            <w:vAlign w:val="center"/>
            <w:shd w:fill="D9EAF7"/>
          </w:tcPr>
          <w:p>
            <w:r/>
            <w:r>
              <w:rPr>
                <w:b/>
                <w:sz w:val="17"/>
              </w:rPr>
              <w:t>Example client decision</w:t>
            </w:r>
          </w:p>
        </w:tc>
      </w:tr>
      <w:tr>
        <w:tc>
          <w:tcPr>
            <w:tcW w:type="dxa" w:w="2232"/>
            <w:vAlign w:val="center"/>
          </w:tcPr>
          <w:p>
            <w:r/>
            <w:r>
              <w:rPr>
                <w:b w:val="0"/>
                <w:sz w:val="17"/>
              </w:rPr>
              <w:t>Hosting</w:t>
            </w:r>
          </w:p>
        </w:tc>
        <w:tc>
          <w:tcPr>
            <w:tcW w:type="dxa" w:w="6480"/>
            <w:vAlign w:val="center"/>
          </w:tcPr>
          <w:p>
            <w:r/>
            <w:r>
              <w:rPr>
                <w:b w:val="0"/>
                <w:sz w:val="17"/>
              </w:rPr>
              <w:t>Vercel / AWS / other compatible host</w:t>
            </w:r>
          </w:p>
        </w:tc>
      </w:tr>
      <w:tr>
        <w:tc>
          <w:tcPr>
            <w:tcW w:type="dxa" w:w="2232"/>
            <w:vAlign w:val="center"/>
          </w:tcPr>
          <w:p>
            <w:r/>
            <w:r>
              <w:rPr>
                <w:b w:val="0"/>
                <w:sz w:val="17"/>
              </w:rPr>
              <w:t>Database</w:t>
            </w:r>
          </w:p>
        </w:tc>
        <w:tc>
          <w:tcPr>
            <w:tcW w:type="dxa" w:w="6480"/>
            <w:vAlign w:val="center"/>
          </w:tcPr>
          <w:p>
            <w:r/>
            <w:r>
              <w:rPr>
                <w:b w:val="0"/>
                <w:sz w:val="17"/>
              </w:rPr>
              <w:t>Supabase / AWS RDS/Aurora PostgreSQL / compatible PostgreSQL</w:t>
            </w:r>
          </w:p>
        </w:tc>
      </w:tr>
      <w:tr>
        <w:tc>
          <w:tcPr>
            <w:tcW w:type="dxa" w:w="2232"/>
            <w:vAlign w:val="center"/>
          </w:tcPr>
          <w:p>
            <w:r/>
            <w:r>
              <w:rPr>
                <w:b w:val="0"/>
                <w:sz w:val="17"/>
              </w:rPr>
              <w:t>Authentication</w:t>
            </w:r>
          </w:p>
        </w:tc>
        <w:tc>
          <w:tcPr>
            <w:tcW w:type="dxa" w:w="6480"/>
            <w:vAlign w:val="center"/>
          </w:tcPr>
          <w:p>
            <w:r/>
            <w:r>
              <w:rPr>
                <w:b w:val="0"/>
                <w:sz w:val="17"/>
              </w:rPr>
              <w:t>Clerk configuration and domains</w:t>
            </w:r>
          </w:p>
        </w:tc>
      </w:tr>
      <w:tr>
        <w:tc>
          <w:tcPr>
            <w:tcW w:type="dxa" w:w="2232"/>
            <w:vAlign w:val="center"/>
          </w:tcPr>
          <w:p>
            <w:r/>
            <w:r>
              <w:rPr>
                <w:b w:val="0"/>
                <w:sz w:val="17"/>
              </w:rPr>
              <w:t>Email</w:t>
            </w:r>
          </w:p>
        </w:tc>
        <w:tc>
          <w:tcPr>
            <w:tcW w:type="dxa" w:w="6480"/>
            <w:vAlign w:val="center"/>
          </w:tcPr>
          <w:p>
            <w:r/>
            <w:r>
              <w:rPr>
                <w:b w:val="0"/>
                <w:sz w:val="17"/>
              </w:rPr>
              <w:t>Resend account + verified sender domain</w:t>
            </w:r>
          </w:p>
        </w:tc>
      </w:tr>
      <w:tr>
        <w:tc>
          <w:tcPr>
            <w:tcW w:type="dxa" w:w="2232"/>
            <w:vAlign w:val="center"/>
          </w:tcPr>
          <w:p>
            <w:r/>
            <w:r>
              <w:rPr>
                <w:b w:val="0"/>
                <w:sz w:val="17"/>
              </w:rPr>
              <w:t>Telephony/SMS</w:t>
            </w:r>
          </w:p>
        </w:tc>
        <w:tc>
          <w:tcPr>
            <w:tcW w:type="dxa" w:w="6480"/>
            <w:vAlign w:val="center"/>
          </w:tcPr>
          <w:p>
            <w:r/>
            <w:r>
              <w:rPr>
                <w:b w:val="0"/>
                <w:sz w:val="17"/>
              </w:rPr>
              <w:t>Twilio/Exotel/etc.</w:t>
            </w:r>
          </w:p>
        </w:tc>
      </w:tr>
      <w:tr>
        <w:tc>
          <w:tcPr>
            <w:tcW w:type="dxa" w:w="2232"/>
            <w:vAlign w:val="center"/>
          </w:tcPr>
          <w:p>
            <w:r/>
            <w:r>
              <w:rPr>
                <w:b w:val="0"/>
                <w:sz w:val="17"/>
              </w:rPr>
              <w:t>AI</w:t>
            </w:r>
          </w:p>
        </w:tc>
        <w:tc>
          <w:tcPr>
            <w:tcW w:type="dxa" w:w="6480"/>
            <w:vAlign w:val="center"/>
          </w:tcPr>
          <w:p>
            <w:r/>
            <w:r>
              <w:rPr>
                <w:b w:val="0"/>
                <w:sz w:val="17"/>
              </w:rPr>
              <w:t>Gemini/OpenAI/Anthropic/etc.</w:t>
            </w:r>
          </w:p>
        </w:tc>
      </w:tr>
      <w:tr>
        <w:tc>
          <w:tcPr>
            <w:tcW w:type="dxa" w:w="2232"/>
            <w:vAlign w:val="center"/>
          </w:tcPr>
          <w:p>
            <w:r/>
            <w:r>
              <w:rPr>
                <w:b w:val="0"/>
                <w:sz w:val="17"/>
              </w:rPr>
              <w:t>Realtime</w:t>
            </w:r>
          </w:p>
        </w:tc>
        <w:tc>
          <w:tcPr>
            <w:tcW w:type="dxa" w:w="6480"/>
            <w:vAlign w:val="center"/>
          </w:tcPr>
          <w:p>
            <w:r/>
            <w:r>
              <w:rPr>
                <w:b w:val="0"/>
                <w:sz w:val="17"/>
              </w:rPr>
              <w:t>Pusher/Supabase Realtime/Ably</w:t>
            </w:r>
          </w:p>
        </w:tc>
      </w:tr>
      <w:tr>
        <w:tc>
          <w:tcPr>
            <w:tcW w:type="dxa" w:w="2232"/>
            <w:vAlign w:val="center"/>
          </w:tcPr>
          <w:p>
            <w:r/>
            <w:r>
              <w:rPr>
                <w:b w:val="0"/>
                <w:sz w:val="17"/>
              </w:rPr>
              <w:t>Storage</w:t>
            </w:r>
          </w:p>
        </w:tc>
        <w:tc>
          <w:tcPr>
            <w:tcW w:type="dxa" w:w="6480"/>
            <w:vAlign w:val="center"/>
          </w:tcPr>
          <w:p>
            <w:r/>
            <w:r>
              <w:rPr>
                <w:b w:val="0"/>
                <w:sz w:val="17"/>
              </w:rPr>
              <w:t>AWS S3/R2/Supabase Storage/etc.</w:t>
            </w:r>
          </w:p>
        </w:tc>
      </w:tr>
      <w:tr>
        <w:tc>
          <w:tcPr>
            <w:tcW w:type="dxa" w:w="2232"/>
            <w:vAlign w:val="center"/>
          </w:tcPr>
          <w:p>
            <w:r/>
            <w:r>
              <w:rPr>
                <w:b w:val="0"/>
                <w:sz w:val="17"/>
              </w:rPr>
              <w:t>CCTV</w:t>
            </w:r>
          </w:p>
        </w:tc>
        <w:tc>
          <w:tcPr>
            <w:tcW w:type="dxa" w:w="6480"/>
            <w:vAlign w:val="center"/>
          </w:tcPr>
          <w:p>
            <w:r/>
            <w:r>
              <w:rPr>
                <w:b w:val="0"/>
                <w:sz w:val="17"/>
              </w:rPr>
              <w:t>Required cameras, MediaMTX node(s), worker host(s), retention policy</w:t>
            </w:r>
          </w:p>
        </w:tc>
      </w:tr>
      <w:tr>
        <w:tc>
          <w:tcPr>
            <w:tcW w:type="dxa" w:w="2232"/>
            <w:vAlign w:val="center"/>
          </w:tcPr>
          <w:p>
            <w:r/>
            <w:r>
              <w:rPr>
                <w:b w:val="0"/>
                <w:sz w:val="17"/>
              </w:rPr>
              <w:t>Operations</w:t>
            </w:r>
          </w:p>
        </w:tc>
        <w:tc>
          <w:tcPr>
            <w:tcW w:type="dxa" w:w="6480"/>
            <w:vAlign w:val="center"/>
          </w:tcPr>
          <w:p>
            <w:r/>
            <w:r>
              <w:rPr>
                <w:b w:val="0"/>
                <w:sz w:val="17"/>
              </w:rPr>
              <w:t>Monitoring, backup, alerting, domain, DNS, certificates</w:t>
            </w:r>
          </w:p>
        </w:tc>
      </w:tr>
      <w:tr>
        <w:tc>
          <w:tcPr>
            <w:tcW w:type="dxa" w:w="2232"/>
            <w:vAlign w:val="center"/>
          </w:tcPr>
          <w:p>
            <w:r/>
            <w:r>
              <w:rPr>
                <w:b w:val="0"/>
                <w:sz w:val="17"/>
              </w:rPr>
              <w:t>Security</w:t>
            </w:r>
          </w:p>
        </w:tc>
        <w:tc>
          <w:tcPr>
            <w:tcW w:type="dxa" w:w="6480"/>
            <w:vAlign w:val="center"/>
          </w:tcPr>
          <w:p>
            <w:r/>
            <w:r>
              <w:rPr>
                <w:b w:val="0"/>
                <w:sz w:val="17"/>
              </w:rPr>
              <w:t>Secrets, allowed origins, webhook secrets, encryption keys and operational access policy</w:t>
            </w:r>
          </w:p>
        </w:tc>
      </w:tr>
    </w:tbl>
    <w:p/>
    <w:p>
      <w:pPr>
        <w:pStyle w:val="Heading1"/>
      </w:pPr>
      <w:r>
        <w:t>18. Environment Variable &amp; Secret Management Rules</w:t>
      </w:r>
    </w:p>
    <w:p>
      <w:pPr>
        <w:pStyle w:val="ListBullet"/>
        <w:spacing w:after="40"/>
      </w:pPr>
      <w:r>
        <w:t>Never store client secrets in source control.</w:t>
      </w:r>
    </w:p>
    <w:p>
      <w:pPr>
        <w:pStyle w:val="ListBullet"/>
        <w:spacing w:after="40"/>
      </w:pPr>
      <w:r>
        <w:t>Never paste production secrets into chat, issue trackers or documents.</w:t>
      </w:r>
    </w:p>
    <w:p>
      <w:pPr>
        <w:pStyle w:val="ListBullet"/>
        <w:spacing w:after="40"/>
      </w:pPr>
      <w:r>
        <w:t>Never print full secrets in logs or audit output.</w:t>
      </w:r>
    </w:p>
    <w:p>
      <w:pPr>
        <w:pStyle w:val="ListBullet"/>
        <w:spacing w:after="40"/>
      </w:pPr>
      <w:r>
        <w:t>Use .env.example for variable names and descriptions, never real secret values.</w:t>
      </w:r>
    </w:p>
    <w:p>
      <w:pPr>
        <w:pStyle w:val="ListBullet"/>
        <w:spacing w:after="40"/>
      </w:pPr>
      <w:r>
        <w:t>Classify variables as required, optional/degraded, demo/test-only or legacy/deprecated.</w:t>
      </w:r>
    </w:p>
    <w:p>
      <w:pPr>
        <w:pStyle w:val="ListBullet"/>
        <w:spacing w:after="40"/>
      </w:pPr>
      <w:r>
        <w:t>The client’s .env belongs to that client deployment; do not reuse one company’s credentials in another.</w:t>
      </w:r>
    </w:p>
    <w:p>
      <w:pPr>
        <w:pStyle w:val="ListBullet"/>
        <w:spacing w:after="40"/>
      </w:pPr>
      <w:r>
        <w:t>Provider selection and provider credentials must be independent of business logic.</w:t>
      </w:r>
    </w:p>
    <w:p>
      <w:pPr>
        <w:pStyle w:val="ListBullet"/>
        <w:spacing w:after="40"/>
      </w:pPr>
      <w:r>
        <w:t>When a client moves from Supabase to AWS, change infrastructure configuration/adapters rather than rewriting CRM domain workflows.</w:t>
      </w:r>
    </w:p>
    <w:p>
      <w:pPr>
        <w:pStyle w:val="ListBullet"/>
        <w:spacing w:after="40"/>
      </w:pPr>
      <w:r>
        <w:t>When a client provides real credentials, run provider-specific smoke tests and then production-like security tests.</w:t>
      </w:r>
    </w:p>
    <w:p>
      <w:pPr>
        <w:pStyle w:val="ListBullet"/>
        <w:spacing w:after="40"/>
      </w:pPr>
      <w:r>
        <w:t>Rotate any credential that appeared in a transcript or other uncontrolled location.</w:t>
      </w:r>
    </w:p>
    <w:p>
      <w:pPr>
        <w:pStyle w:val="Heading1"/>
      </w:pPr>
      <w:r>
        <w:t>19. What Is Explicitly Deprecated / Not a Current Blocker</w:t>
      </w:r>
    </w:p>
    <w:p>
      <w:pPr>
        <w:pStyle w:val="ListBullet"/>
        <w:spacing w:after="40"/>
      </w:pPr>
      <w:r>
        <w:t>Platform-level self-service SaaS subscription/payment processing is not part of the current deployment model.</w:t>
      </w:r>
    </w:p>
    <w:p>
      <w:pPr>
        <w:pStyle w:val="ListBullet"/>
        <w:spacing w:after="40"/>
      </w:pPr>
      <w:r>
        <w:t>Old Stripe/Razorpay/payment environment variables or remnants must not automatically trigger billing work.</w:t>
      </w:r>
    </w:p>
    <w:p>
      <w:pPr>
        <w:pStyle w:val="ListBullet"/>
        <w:spacing w:after="40"/>
      </w:pPr>
      <w:r>
        <w:t>Vercel API routes must not become persistent CCTV filesystem workers.</w:t>
      </w:r>
    </w:p>
    <w:p>
      <w:pPr>
        <w:pStyle w:val="ListBullet"/>
        <w:spacing w:after="40"/>
      </w:pPr>
      <w:r>
        <w:t>Serverless setInterval-based long-running worker/lease architecture must not return.</w:t>
      </w:r>
    </w:p>
    <w:p>
      <w:pPr>
        <w:pStyle w:val="ListBullet"/>
        <w:spacing w:after="40"/>
      </w:pPr>
      <w:r>
        <w:t>Silent production mocks/fake AI results are prohibited.</w:t>
      </w:r>
    </w:p>
    <w:p>
      <w:pPr>
        <w:pStyle w:val="ListBullet"/>
        <w:spacing w:after="40"/>
      </w:pPr>
      <w:r>
        <w:t>Blind cross-node CCTV job stealing is prohibited.</w:t>
      </w:r>
    </w:p>
    <w:p>
      <w:pPr>
        <w:pStyle w:val="ListBullet"/>
        <w:spacing w:after="40"/>
      </w:pPr>
      <w:r>
        <w:t>Mobile applications are deferred until the web/API/realtime/production platform is stable.</w:t>
      </w:r>
    </w:p>
    <w:p>
      <w:pPr>
        <w:pStyle w:val="ListBullet"/>
        <w:spacing w:after="40"/>
      </w:pPr>
      <w:r>
        <w:t>Advanced computer vision is a later product expansion, not the immediate stabilization blocker.</w:t>
      </w:r>
    </w:p>
    <w:p>
      <w:pPr>
        <w:pStyle w:val="Heading1"/>
      </w:pPr>
      <w:r>
        <w:t>20. Final Definition of Done</w:t>
      </w:r>
    </w:p>
    <w:p>
      <w:pPr>
        <w:spacing w:after="100"/>
      </w:pPr>
      <w:r>
        <w:t>The project should be declared FINAL only when all of the following are true:</w:t>
      </w:r>
    </w:p>
    <w:p>
      <w:pPr>
        <w:pStyle w:val="ListBullet"/>
        <w:spacing w:after="40"/>
      </w:pPr>
      <w:r>
        <w:t>CRM workflows are complete and usable end-to-end.</w:t>
      </w:r>
    </w:p>
    <w:p>
      <w:pPr>
        <w:pStyle w:val="ListBullet"/>
        <w:spacing w:after="40"/>
      </w:pPr>
      <w:r>
        <w:t>Communication, internal messaging/calling, customer communication, email/SMS and telephony are integrated through real or explicitly selected providers.</w:t>
      </w:r>
    </w:p>
    <w:p>
      <w:pPr>
        <w:pStyle w:val="ListBullet"/>
        <w:spacing w:after="40"/>
      </w:pPr>
      <w:r>
        <w:t>CCTV has a real operational path where deployed: camera → MediaMTX → recording → authenticated webhook → node-affine worker → verified storage → AI job/event.</w:t>
      </w:r>
    </w:p>
    <w:p>
      <w:pPr>
        <w:pStyle w:val="ListBullet"/>
        <w:spacing w:after="40"/>
      </w:pPr>
      <w:r>
        <w:t>AI assistant and AI processing use controlled authorized tools, never unrestricted database access.</w:t>
      </w:r>
    </w:p>
    <w:p>
      <w:pPr>
        <w:pStyle w:val="ListBullet"/>
        <w:spacing w:after="40"/>
      </w:pPr>
      <w:r>
        <w:t>Realtime is provided by a selected managed provider with tenant/channel authorization and safe degradation.</w:t>
      </w:r>
    </w:p>
    <w:p>
      <w:pPr>
        <w:pStyle w:val="ListBullet"/>
        <w:spacing w:after="40"/>
      </w:pPr>
      <w:r>
        <w:t>Company → department → employee onboarding and RBAC are complete.</w:t>
      </w:r>
    </w:p>
    <w:p>
      <w:pPr>
        <w:pStyle w:val="ListBullet"/>
        <w:spacing w:after="40"/>
      </w:pPr>
      <w:r>
        <w:t>Products, pricing, quotations, approvals and revenue workflows are complete.</w:t>
      </w:r>
    </w:p>
    <w:p>
      <w:pPr>
        <w:pStyle w:val="ListBullet"/>
        <w:spacing w:after="40"/>
      </w:pPr>
      <w:r>
        <w:t>Reporting, analytics, alerts and notifications are complete.</w:t>
      </w:r>
    </w:p>
    <w:p>
      <w:pPr>
        <w:pStyle w:val="ListBullet"/>
        <w:spacing w:after="40"/>
      </w:pPr>
      <w:r>
        <w:t>Tenant isolation, RLS, RBAC, IDOR, webhook security, secret handling and auditability are verified.</w:t>
      </w:r>
    </w:p>
    <w:p>
      <w:pPr>
        <w:pStyle w:val="ListBullet"/>
        <w:spacing w:after="40"/>
      </w:pPr>
      <w:r>
        <w:t>Workers have safe claiming, lease/fencing, idempotency, node affinity, graceful shutdown and recovery semantics.</w:t>
      </w:r>
    </w:p>
    <w:p>
      <w:pPr>
        <w:pStyle w:val="ListBullet"/>
        <w:spacing w:after="40"/>
      </w:pPr>
      <w:r>
        <w:t>CCTV data-loss invariant is proven under failure scenarios.</w:t>
      </w:r>
    </w:p>
    <w:p>
      <w:pPr>
        <w:pStyle w:val="ListBullet"/>
        <w:spacing w:after="40"/>
      </w:pPr>
      <w:r>
        <w:t>Observability, backup/recovery, RPO/RTO and operational runbooks are usable.</w:t>
      </w:r>
    </w:p>
    <w:p>
      <w:pPr>
        <w:pStyle w:val="ListBullet"/>
        <w:spacing w:after="40"/>
      </w:pPr>
      <w:r>
        <w:t>Concurrency/load testing is performed against the intended deployment topology.</w:t>
      </w:r>
    </w:p>
    <w:p>
      <w:pPr>
        <w:pStyle w:val="ListBullet"/>
        <w:spacing w:after="40"/>
      </w:pPr>
      <w:r>
        <w:t>The product can be provisioned repeatedly for a new company without modifying business logic.</w:t>
      </w:r>
    </w:p>
    <w:p>
      <w:pPr>
        <w:pStyle w:val="ListBullet"/>
        <w:spacing w:after="40"/>
      </w:pPr>
      <w:r>
        <w:t>Client-specific .env/provider credentials can replace demo providers without architectural rewrites.</w:t>
      </w:r>
    </w:p>
    <w:p>
      <w:pPr>
        <w:pStyle w:val="ListBullet"/>
        <w:spacing w:after="40"/>
      </w:pPr>
      <w:r>
        <w:t>At least the supported target infrastructure combinations used for actual clients have passed provisioning and smoke/security certification.</w:t>
      </w:r>
    </w:p>
    <w:p>
      <w:pPr>
        <w:pStyle w:val="ListBullet"/>
        <w:spacing w:after="40"/>
      </w:pPr>
      <w:r>
        <w:t>S16/S17 stabilization gates have reproducible evidence and no unexplained critical failures.</w:t>
      </w:r>
    </w:p>
    <w:p>
      <w:pPr>
        <w:pStyle w:val="ListBullet"/>
        <w:spacing w:after="40"/>
      </w:pPr>
      <w:r>
        <w:t>Production deployment is certified—not merely deployed.</w:t>
      </w:r>
    </w:p>
    <w:p>
      <w:pPr>
        <w:pStyle w:val="Heading1"/>
      </w:pPr>
      <w:r>
        <w:t>21. Final Roadmap from 12 September 2026 to Completion</w:t>
      </w:r>
    </w:p>
    <w:p>
      <w:pPr>
        <w:spacing w:after="100"/>
      </w:pPr>
      <w:r>
        <w:t>The correct sequence is not 'keep adding random features until the UI looks complete'. The project should move through controlled gates.</w:t>
      </w:r>
    </w:p>
    <w:p>
      <w:pPr>
        <w:spacing w:after="100"/>
      </w:pPr>
      <w:r>
        <w:t>CURRENT POSITION</w:t>
        <w:br/>
        <w:t>↓</w:t>
        <w:br/>
        <w:t>S10 R07–R09 CCTV security closure</w:t>
        <w:br/>
        <w:t>↓</w:t>
        <w:br/>
        <w:t>S11 CCTV/worker chaos + data-loss proof</w:t>
        <w:br/>
        <w:t>↓</w:t>
        <w:br/>
        <w:t>S12 managed realtime finalization + security</w:t>
        <w:br/>
        <w:t>↓</w:t>
        <w:br/>
        <w:t>S13 production cleanup</w:t>
        <w:br/>
        <w:t>↓</w:t>
        <w:br/>
        <w:t>S14 environment/deployment certification</w:t>
        <w:br/>
        <w:t>↓</w:t>
        <w:br/>
        <w:t>S15 critical-path matrix</w:t>
        <w:br/>
        <w:t>↓</w:t>
        <w:br/>
        <w:t>S16 full deterministic verification</w:t>
        <w:br/>
        <w:t>↓</w:t>
        <w:br/>
        <w:t>S17 stabilization freeze</w:t>
        <w:br/>
        <w:t>↓</w:t>
        <w:br/>
        <w:t>Resume product expansion</w:t>
        <w:br/>
        <w:t>↓</w:t>
        <w:br/>
        <w:t>Complete CRM + communication/telephony</w:t>
        <w:br/>
        <w:t>↓</w:t>
        <w:br/>
        <w:t>Complete CCTV operational product</w:t>
        <w:br/>
        <w:t>↓</w:t>
        <w:br/>
        <w:t>Complete AI assistant + AI processing</w:t>
        <w:br/>
        <w:t>↓</w:t>
        <w:br/>
        <w:t>Complete workforce/enterprise operations</w:t>
        <w:br/>
        <w:t>↓</w:t>
        <w:br/>
        <w:t>Complete reporting/analytics/notifications</w:t>
        <w:br/>
        <w:t>↓</w:t>
        <w:br/>
        <w:t>Scale/load/concurrency certification</w:t>
        <w:br/>
        <w:t>↓</w:t>
        <w:br/>
        <w:t>Build repeatable company provisioning</w:t>
        <w:br/>
        <w:t>↓</w:t>
        <w:br/>
        <w:t>Client infrastructure compatibility certification</w:t>
        <w:br/>
        <w:t>↓</w:t>
        <w:br/>
        <w:t>First-company deployment pilot</w:t>
        <w:br/>
        <w:t>↓</w:t>
        <w:br/>
        <w:t>Production hardening + handover</w:t>
        <w:br/>
        <w:t>↓</w:t>
        <w:br/>
        <w:t>FINAL AI SECURITY + BUSINESS CRM PLATFORM</w:t>
      </w:r>
    </w:p>
    <w:p>
      <w:pPr>
        <w:spacing w:after="100"/>
      </w:pPr>
      <w:r>
        <w:t>This sequencing preserves the key architectural lesson of the project: stabilization is not wasted work. The earlier audits discovered real issues in migrations, tenant isolation, provider behavior, serverless filesystem assumptions, worker lifecycle, webhook security and data-loss semantics. The remaining roadmap should build on those corrections rather than bypass them. fileciteturn205file14</w:t>
      </w:r>
    </w:p>
    <w:p>
      <w:pPr>
        <w:pStyle w:val="Heading1"/>
      </w:pPr>
      <w:r>
        <w:t>22. Risks That Must Stay Visible</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7"/>
              </w:rPr>
              <w:t>Risk</w:t>
            </w:r>
          </w:p>
        </w:tc>
        <w:tc>
          <w:tcPr>
            <w:tcW w:type="dxa" w:w="3816"/>
            <w:vAlign w:val="center"/>
            <w:shd w:fill="D9EAF7"/>
          </w:tcPr>
          <w:p>
            <w:r/>
            <w:r>
              <w:rPr>
                <w:b/>
                <w:sz w:val="17"/>
              </w:rPr>
              <w:t>Why it matters</w:t>
            </w:r>
          </w:p>
        </w:tc>
        <w:tc>
          <w:tcPr>
            <w:tcW w:type="dxa" w:w="2880"/>
            <w:vAlign w:val="center"/>
            <w:shd w:fill="D9EAF7"/>
          </w:tcPr>
          <w:p>
            <w:r/>
            <w:r>
              <w:rPr>
                <w:b/>
                <w:sz w:val="17"/>
              </w:rPr>
              <w:t>Required control</w:t>
            </w:r>
          </w:p>
        </w:tc>
      </w:tr>
      <w:tr>
        <w:tc>
          <w:tcPr>
            <w:tcW w:type="dxa" w:w="2016"/>
            <w:vAlign w:val="center"/>
          </w:tcPr>
          <w:p>
            <w:r/>
            <w:r>
              <w:rPr>
                <w:b w:val="0"/>
                <w:sz w:val="17"/>
              </w:rPr>
              <w:t>Credential exposure</w:t>
            </w:r>
          </w:p>
        </w:tc>
        <w:tc>
          <w:tcPr>
            <w:tcW w:type="dxa" w:w="3816"/>
            <w:vAlign w:val="center"/>
          </w:tcPr>
          <w:p>
            <w:r/>
            <w:r>
              <w:rPr>
                <w:b w:val="0"/>
                <w:sz w:val="17"/>
              </w:rPr>
              <w:t>A production DB credential appeared in a transcript historically.</w:t>
            </w:r>
          </w:p>
        </w:tc>
        <w:tc>
          <w:tcPr>
            <w:tcW w:type="dxa" w:w="2880"/>
            <w:vAlign w:val="center"/>
          </w:tcPr>
          <w:p>
            <w:r/>
            <w:r>
              <w:rPr>
                <w:b w:val="0"/>
                <w:sz w:val="17"/>
              </w:rPr>
              <w:t>Treat compromised; rotate outside chat; never repeat secret.</w:t>
            </w:r>
          </w:p>
        </w:tc>
      </w:tr>
      <w:tr>
        <w:tc>
          <w:tcPr>
            <w:tcW w:type="dxa" w:w="2016"/>
            <w:vAlign w:val="center"/>
          </w:tcPr>
          <w:p>
            <w:r/>
            <w:r>
              <w:rPr>
                <w:b w:val="0"/>
                <w:sz w:val="17"/>
              </w:rPr>
              <w:t>Demo leakage into production</w:t>
            </w:r>
          </w:p>
        </w:tc>
        <w:tc>
          <w:tcPr>
            <w:tcW w:type="dxa" w:w="3816"/>
            <w:vAlign w:val="center"/>
          </w:tcPr>
          <w:p>
            <w:r/>
            <w:r>
              <w:rPr>
                <w:b w:val="0"/>
                <w:sz w:val="17"/>
              </w:rPr>
              <w:t>Fake provider success can create false operational records.</w:t>
            </w:r>
          </w:p>
        </w:tc>
        <w:tc>
          <w:tcPr>
            <w:tcW w:type="dxa" w:w="2880"/>
            <w:vAlign w:val="center"/>
          </w:tcPr>
          <w:p>
            <w:r/>
            <w:r>
              <w:rPr>
                <w:b w:val="0"/>
                <w:sz w:val="17"/>
              </w:rPr>
              <w:t>Explicit demo mode, environment guardrails, provider health visibility.</w:t>
            </w:r>
          </w:p>
        </w:tc>
      </w:tr>
      <w:tr>
        <w:tc>
          <w:tcPr>
            <w:tcW w:type="dxa" w:w="2016"/>
            <w:vAlign w:val="center"/>
          </w:tcPr>
          <w:p>
            <w:r/>
            <w:r>
              <w:rPr>
                <w:b w:val="0"/>
                <w:sz w:val="17"/>
              </w:rPr>
              <w:t>Database portability</w:t>
            </w:r>
          </w:p>
        </w:tc>
        <w:tc>
          <w:tcPr>
            <w:tcW w:type="dxa" w:w="3816"/>
            <w:vAlign w:val="center"/>
          </w:tcPr>
          <w:p>
            <w:r/>
            <w:r>
              <w:rPr>
                <w:b w:val="0"/>
                <w:sz w:val="17"/>
              </w:rPr>
              <w:t>Supabase-specific RLS/roles/extensions may differ elsewhere.</w:t>
            </w:r>
          </w:p>
        </w:tc>
        <w:tc>
          <w:tcPr>
            <w:tcW w:type="dxa" w:w="2880"/>
            <w:vAlign w:val="center"/>
          </w:tcPr>
          <w:p>
            <w:r/>
            <w:r>
              <w:rPr>
                <w:b w:val="0"/>
                <w:sz w:val="17"/>
              </w:rPr>
              <w:t>Infrastructure adapter documentation + fresh-target certification.</w:t>
            </w:r>
          </w:p>
        </w:tc>
      </w:tr>
      <w:tr>
        <w:tc>
          <w:tcPr>
            <w:tcW w:type="dxa" w:w="2016"/>
            <w:vAlign w:val="center"/>
          </w:tcPr>
          <w:p>
            <w:r/>
            <w:r>
              <w:rPr>
                <w:b w:val="0"/>
                <w:sz w:val="17"/>
              </w:rPr>
              <w:t>CCTV infrastructure</w:t>
            </w:r>
          </w:p>
        </w:tc>
        <w:tc>
          <w:tcPr>
            <w:tcW w:type="dxa" w:w="3816"/>
            <w:vAlign w:val="center"/>
          </w:tcPr>
          <w:p>
            <w:r/>
            <w:r>
              <w:rPr>
                <w:b w:val="0"/>
                <w:sz w:val="17"/>
              </w:rPr>
              <w:t>Real camera streams require persistent networking/filesystem.</w:t>
            </w:r>
          </w:p>
        </w:tc>
        <w:tc>
          <w:tcPr>
            <w:tcW w:type="dxa" w:w="2880"/>
            <w:vAlign w:val="center"/>
          </w:tcPr>
          <w:p>
            <w:r/>
            <w:r>
              <w:rPr>
                <w:b w:val="0"/>
                <w:sz w:val="17"/>
              </w:rPr>
              <w:t>MediaMTX + external worker nodes; never serverless filesystem.</w:t>
            </w:r>
          </w:p>
        </w:tc>
      </w:tr>
      <w:tr>
        <w:tc>
          <w:tcPr>
            <w:tcW w:type="dxa" w:w="2016"/>
            <w:vAlign w:val="center"/>
          </w:tcPr>
          <w:p>
            <w:r/>
            <w:r>
              <w:rPr>
                <w:b w:val="0"/>
                <w:sz w:val="17"/>
              </w:rPr>
              <w:t>Data loss</w:t>
            </w:r>
          </w:p>
        </w:tc>
        <w:tc>
          <w:tcPr>
            <w:tcW w:type="dxa" w:w="3816"/>
            <w:vAlign w:val="center"/>
          </w:tcPr>
          <w:p>
            <w:r/>
            <w:r>
              <w:rPr>
                <w:b w:val="0"/>
                <w:sz w:val="17"/>
              </w:rPr>
              <w:t>Recording deletion before verified durable storage is catastrophic.</w:t>
            </w:r>
          </w:p>
        </w:tc>
        <w:tc>
          <w:tcPr>
            <w:tcW w:type="dxa" w:w="2880"/>
            <w:vAlign w:val="center"/>
          </w:tcPr>
          <w:p>
            <w:r/>
            <w:r>
              <w:rPr>
                <w:b w:val="0"/>
                <w:sz w:val="17"/>
              </w:rPr>
              <w:t>Upload → integrity → DB confirmation → delete only after success.</w:t>
            </w:r>
          </w:p>
        </w:tc>
      </w:tr>
      <w:tr>
        <w:tc>
          <w:tcPr>
            <w:tcW w:type="dxa" w:w="2016"/>
            <w:vAlign w:val="center"/>
          </w:tcPr>
          <w:p>
            <w:r/>
            <w:r>
              <w:rPr>
                <w:b w:val="0"/>
                <w:sz w:val="17"/>
              </w:rPr>
              <w:t>Realtime provider</w:t>
            </w:r>
          </w:p>
        </w:tc>
        <w:tc>
          <w:tcPr>
            <w:tcW w:type="dxa" w:w="3816"/>
            <w:vAlign w:val="center"/>
          </w:tcPr>
          <w:p>
            <w:r/>
            <w:r>
              <w:rPr>
                <w:b w:val="0"/>
                <w:sz w:val="17"/>
              </w:rPr>
              <w:t>Tenant channel authorization must not be delegated blindly.</w:t>
            </w:r>
          </w:p>
        </w:tc>
        <w:tc>
          <w:tcPr>
            <w:tcW w:type="dxa" w:w="2880"/>
            <w:vAlign w:val="center"/>
          </w:tcPr>
          <w:p>
            <w:r/>
            <w:r>
              <w:rPr>
                <w:b w:val="0"/>
                <w:sz w:val="17"/>
              </w:rPr>
              <w:t>Managed provider + signed/authorized channel access.</w:t>
            </w:r>
          </w:p>
        </w:tc>
      </w:tr>
      <w:tr>
        <w:tc>
          <w:tcPr>
            <w:tcW w:type="dxa" w:w="2016"/>
            <w:vAlign w:val="center"/>
          </w:tcPr>
          <w:p>
            <w:r/>
            <w:r>
              <w:rPr>
                <w:b w:val="0"/>
                <w:sz w:val="17"/>
              </w:rPr>
              <w:t>Migration drift</w:t>
            </w:r>
          </w:p>
        </w:tc>
        <w:tc>
          <w:tcPr>
            <w:tcW w:type="dxa" w:w="3816"/>
            <w:vAlign w:val="center"/>
          </w:tcPr>
          <w:p>
            <w:r/>
            <w:r>
              <w:rPr>
                <w:b w:val="0"/>
                <w:sz w:val="17"/>
              </w:rPr>
              <w:t>Schema, migration ledger and live DB can diverge.</w:t>
            </w:r>
          </w:p>
        </w:tc>
        <w:tc>
          <w:tcPr>
            <w:tcW w:type="dxa" w:w="2880"/>
            <w:vAlign w:val="center"/>
          </w:tcPr>
          <w:p>
            <w:r/>
            <w:r>
              <w:rPr>
                <w:b w:val="0"/>
                <w:sz w:val="17"/>
              </w:rPr>
              <w:t>Five-way reconciliation + canonical baseline.</w:t>
            </w:r>
          </w:p>
        </w:tc>
      </w:tr>
      <w:tr>
        <w:tc>
          <w:tcPr>
            <w:tcW w:type="dxa" w:w="2016"/>
            <w:vAlign w:val="center"/>
          </w:tcPr>
          <w:p>
            <w:r/>
            <w:r>
              <w:rPr>
                <w:b w:val="0"/>
                <w:sz w:val="17"/>
              </w:rPr>
              <w:t>Scale</w:t>
            </w:r>
          </w:p>
        </w:tc>
        <w:tc>
          <w:tcPr>
            <w:tcW w:type="dxa" w:w="3816"/>
            <w:vAlign w:val="center"/>
          </w:tcPr>
          <w:p>
            <w:r/>
            <w:r>
              <w:rPr>
                <w:b w:val="0"/>
                <w:sz w:val="17"/>
              </w:rPr>
              <w:t>Passing unit/security tests does not prove high concurrency.</w:t>
            </w:r>
          </w:p>
        </w:tc>
        <w:tc>
          <w:tcPr>
            <w:tcW w:type="dxa" w:w="2880"/>
            <w:vAlign w:val="center"/>
          </w:tcPr>
          <w:p>
            <w:r/>
            <w:r>
              <w:rPr>
                <w:b w:val="0"/>
                <w:sz w:val="17"/>
              </w:rPr>
              <w:t>Load/concurrency tests on final topology.</w:t>
            </w:r>
          </w:p>
        </w:tc>
      </w:tr>
      <w:tr>
        <w:tc>
          <w:tcPr>
            <w:tcW w:type="dxa" w:w="2016"/>
            <w:vAlign w:val="center"/>
          </w:tcPr>
          <w:p>
            <w:r/>
            <w:r>
              <w:rPr>
                <w:b w:val="0"/>
                <w:sz w:val="17"/>
              </w:rPr>
              <w:t>Production confidence</w:t>
            </w:r>
          </w:p>
        </w:tc>
        <w:tc>
          <w:tcPr>
            <w:tcW w:type="dxa" w:w="3816"/>
            <w:vAlign w:val="center"/>
          </w:tcPr>
          <w:p>
            <w:r/>
            <w:r>
              <w:rPr>
                <w:b w:val="0"/>
                <w:sz w:val="17"/>
              </w:rPr>
              <w:t>Build passing is not production certification.</w:t>
            </w:r>
          </w:p>
        </w:tc>
        <w:tc>
          <w:tcPr>
            <w:tcW w:type="dxa" w:w="2880"/>
            <w:vAlign w:val="center"/>
          </w:tcPr>
          <w:p>
            <w:r/>
            <w:r>
              <w:rPr>
                <w:b w:val="0"/>
                <w:sz w:val="17"/>
              </w:rPr>
              <w:t>S14–S17 evidence and real smoke tests.</w:t>
            </w:r>
          </w:p>
        </w:tc>
      </w:tr>
    </w:tbl>
    <w:p/>
    <w:p>
      <w:pPr>
        <w:pStyle w:val="Heading1"/>
      </w:pPr>
      <w:r>
        <w:t>23. Authoritative Operating Rules for Future Development</w:t>
      </w:r>
    </w:p>
    <w:p>
      <w:pPr>
        <w:pStyle w:val="ListBullet"/>
        <w:spacing w:after="40"/>
      </w:pPr>
      <w:r>
        <w:t>Read the latest handover/roadmap and repository state before changing architecture.</w:t>
      </w:r>
    </w:p>
    <w:p>
      <w:pPr>
        <w:pStyle w:val="ListBullet"/>
        <w:spacing w:after="40"/>
      </w:pPr>
      <w:r>
        <w:t>Prefer the latest explicit architectural decision when older documents conflict.</w:t>
      </w:r>
    </w:p>
    <w:p>
      <w:pPr>
        <w:pStyle w:val="ListBullet"/>
        <w:spacing w:after="40"/>
      </w:pPr>
      <w:r>
        <w:t>Never assume that historical code is correct merely because it exists.</w:t>
      </w:r>
    </w:p>
    <w:p>
      <w:pPr>
        <w:pStyle w:val="ListBullet"/>
        <w:spacing w:after="40"/>
      </w:pPr>
      <w:r>
        <w:t>Do not mix stabilization fixes with unrelated feature expansion unless the scope explicitly permits it.</w:t>
      </w:r>
    </w:p>
    <w:p>
      <w:pPr>
        <w:pStyle w:val="ListBullet"/>
        <w:spacing w:after="40"/>
      </w:pPr>
      <w:r>
        <w:t>No PASS based only on code inspection when runtime evidence is possible.</w:t>
      </w:r>
    </w:p>
    <w:p>
      <w:pPr>
        <w:pStyle w:val="ListBullet"/>
        <w:spacing w:after="40"/>
      </w:pPr>
      <w:r>
        <w:t>Do not invent credentials.</w:t>
      </w:r>
    </w:p>
    <w:p>
      <w:pPr>
        <w:pStyle w:val="ListBullet"/>
        <w:spacing w:after="40"/>
      </w:pPr>
      <w:r>
        <w:t>Use explicit demo/test providers to keep development moving when a safe provider implementation exists.</w:t>
      </w:r>
    </w:p>
    <w:p>
      <w:pPr>
        <w:pStyle w:val="ListBullet"/>
        <w:spacing w:after="40"/>
      </w:pPr>
      <w:r>
        <w:t>Never silently use demo data in production.</w:t>
      </w:r>
    </w:p>
    <w:p>
      <w:pPr>
        <w:pStyle w:val="ListBullet"/>
        <w:spacing w:after="40"/>
      </w:pPr>
      <w:r>
        <w:t>Treat critical unavailable infrastructure as a safe block/retry/quarantine condition.</w:t>
      </w:r>
    </w:p>
    <w:p>
      <w:pPr>
        <w:pStyle w:val="ListBullet"/>
        <w:spacing w:after="40"/>
      </w:pPr>
      <w:r>
        <w:t>Keep all client credentials isolated per deployment.</w:t>
      </w:r>
    </w:p>
    <w:p>
      <w:pPr>
        <w:pStyle w:val="ListBullet"/>
        <w:spacing w:after="40"/>
      </w:pPr>
      <w:r>
        <w:t>Keep provider-specific code behind interfaces/adapters.</w:t>
      </w:r>
    </w:p>
    <w:p>
      <w:pPr>
        <w:pStyle w:val="ListBullet"/>
        <w:spacing w:after="40"/>
      </w:pPr>
      <w:r>
        <w:t>Do not give AI unrestricted SQL/database access.</w:t>
      </w:r>
    </w:p>
    <w:p>
      <w:pPr>
        <w:pStyle w:val="ListBullet"/>
        <w:spacing w:after="40"/>
      </w:pPr>
      <w:r>
        <w:t>Do not move persistent workers back into Vercel routes.</w:t>
      </w:r>
    </w:p>
    <w:p>
      <w:pPr>
        <w:pStyle w:val="ListBullet"/>
        <w:spacing w:after="40"/>
      </w:pPr>
      <w:r>
        <w:t>Never delete CCTV source artifacts before verified durable storage and database state.</w:t>
      </w:r>
    </w:p>
    <w:p>
      <w:pPr>
        <w:pStyle w:val="ListBullet"/>
        <w:spacing w:after="40"/>
      </w:pPr>
      <w:r>
        <w:t>Do not declare final production readiness until the complete evidence chain is established.</w:t>
      </w:r>
    </w:p>
    <w:p>
      <w:pPr>
        <w:pStyle w:val="Heading1"/>
      </w:pPr>
      <w:r>
        <w:t>24. Evidence Basis &amp; Interpretation</w:t>
      </w:r>
    </w:p>
    <w:p>
      <w:pPr>
        <w:spacing w:after="100"/>
      </w:pPr>
      <w:r>
        <w:t>This document is based on the project handovers, progress reports and remaining roadmap supplied in the CRM project. Those materials intentionally distinguish original plans, later architectural decisions, reported implementation, and verified state. Where exact current evidence was not available, this document uses 'target', 'requires validation', or 'planning estimate' rather than converting an intended design into a false completion claim.</w:t>
      </w:r>
    </w:p>
    <w:p>
      <w:pPr>
        <w:spacing w:after="100"/>
      </w:pPr>
      <w:r>
        <w:t>The source material explicitly states that the project should not be called fully production-ready until stabilization and verification gates are demonstrated. fileciteturn205file18</w:t>
      </w:r>
    </w:p>
    <w:p>
      <w:pPr>
        <w:spacing w:after="100"/>
      </w:pPr>
      <w:r>
        <w:t>The current roadmap also defines client deployment as a separate activity from codebase stabilization: provision isolated infrastructure, configure secrets, apply migrations, configure providers, deploy workers/CCTV where required, then smoke-test, security-test and hand over. fileciteturn205file13</w:t>
      </w:r>
    </w:p>
    <w:p>
      <w:pPr>
        <w:pStyle w:val="Heading1"/>
      </w:pPr>
      <w:r>
        <w:t>25. One-Page Current State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r/>
            <w:r>
              <w:rPr>
                <w:b/>
                <w:sz w:val="17"/>
              </w:rPr>
              <w:t>Question</w:t>
            </w:r>
          </w:p>
        </w:tc>
        <w:tc>
          <w:tcPr>
            <w:tcW w:type="dxa" w:w="5832"/>
            <w:vAlign w:val="center"/>
            <w:shd w:fill="D9EAF7"/>
          </w:tcPr>
          <w:p>
            <w:r/>
            <w:r>
              <w:rPr>
                <w:b/>
                <w:sz w:val="17"/>
              </w:rPr>
              <w:t>Answer</w:t>
            </w:r>
          </w:p>
        </w:tc>
      </w:tr>
      <w:tr>
        <w:tc>
          <w:tcPr>
            <w:tcW w:type="dxa" w:w="2880"/>
            <w:vAlign w:val="center"/>
          </w:tcPr>
          <w:p>
            <w:r/>
            <w:r>
              <w:rPr>
                <w:b w:val="0"/>
                <w:sz w:val="17"/>
              </w:rPr>
              <w:t>What are we building?</w:t>
            </w:r>
          </w:p>
        </w:tc>
        <w:tc>
          <w:tcPr>
            <w:tcW w:type="dxa" w:w="5832"/>
            <w:vAlign w:val="center"/>
          </w:tcPr>
          <w:p>
            <w:r/>
            <w:r>
              <w:rPr>
                <w:b w:val="0"/>
                <w:sz w:val="17"/>
              </w:rPr>
              <w:t>A full AI Security + Business CRM platform, not merely a CRM.</w:t>
            </w:r>
          </w:p>
        </w:tc>
      </w:tr>
      <w:tr>
        <w:tc>
          <w:tcPr>
            <w:tcW w:type="dxa" w:w="2880"/>
            <w:vAlign w:val="center"/>
          </w:tcPr>
          <w:p>
            <w:r/>
            <w:r>
              <w:rPr>
                <w:b w:val="0"/>
                <w:sz w:val="17"/>
              </w:rPr>
              <w:t>How is it sold/deployed?</w:t>
            </w:r>
          </w:p>
        </w:tc>
        <w:tc>
          <w:tcPr>
            <w:tcW w:type="dxa" w:w="5832"/>
            <w:vAlign w:val="center"/>
          </w:tcPr>
          <w:p>
            <w:r/>
            <w:r>
              <w:rPr>
                <w:b w:val="0"/>
                <w:sz w:val="17"/>
              </w:rPr>
              <w:t>One shared codebase, separately provisioned deployment per company/customer.</w:t>
            </w:r>
          </w:p>
        </w:tc>
      </w:tr>
      <w:tr>
        <w:tc>
          <w:tcPr>
            <w:tcW w:type="dxa" w:w="2880"/>
            <w:vAlign w:val="center"/>
          </w:tcPr>
          <w:p>
            <w:r/>
            <w:r>
              <w:rPr>
                <w:b w:val="0"/>
                <w:sz w:val="17"/>
              </w:rPr>
              <w:t>Where are we developing now?</w:t>
            </w:r>
          </w:p>
        </w:tc>
        <w:tc>
          <w:tcPr>
            <w:tcW w:type="dxa" w:w="5832"/>
            <w:vAlign w:val="center"/>
          </w:tcPr>
          <w:p>
            <w:r/>
            <w:r>
              <w:rPr>
                <w:b w:val="0"/>
                <w:sz w:val="17"/>
              </w:rPr>
              <w:t>Vercel-hosted crm-v01 with PostgreSQL/Supabase infrastructure.</w:t>
            </w:r>
          </w:p>
        </w:tc>
      </w:tr>
      <w:tr>
        <w:tc>
          <w:tcPr>
            <w:tcW w:type="dxa" w:w="2880"/>
            <w:vAlign w:val="center"/>
          </w:tcPr>
          <w:p>
            <w:r/>
            <w:r>
              <w:rPr>
                <w:b w:val="0"/>
                <w:sz w:val="17"/>
              </w:rPr>
              <w:t>Can a future client use AWS instead of Supabase?</w:t>
            </w:r>
          </w:p>
        </w:tc>
        <w:tc>
          <w:tcPr>
            <w:tcW w:type="dxa" w:w="5832"/>
            <w:vAlign w:val="center"/>
          </w:tcPr>
          <w:p>
            <w:r/>
            <w:r>
              <w:rPr>
                <w:b w:val="0"/>
                <w:sz w:val="17"/>
              </w:rPr>
              <w:t>Yes as an architectural target, provided the PostgreSQL/RLS/extensions/roles/pooling/storage compatibility is validated for that deployment.</w:t>
            </w:r>
          </w:p>
        </w:tc>
      </w:tr>
      <w:tr>
        <w:tc>
          <w:tcPr>
            <w:tcW w:type="dxa" w:w="2880"/>
            <w:vAlign w:val="center"/>
          </w:tcPr>
          <w:p>
            <w:r/>
            <w:r>
              <w:rPr>
                <w:b w:val="0"/>
                <w:sz w:val="17"/>
              </w:rPr>
              <w:t>What if client APIs are unavailable today?</w:t>
            </w:r>
          </w:p>
        </w:tc>
        <w:tc>
          <w:tcPr>
            <w:tcW w:type="dxa" w:w="5832"/>
            <w:vAlign w:val="center"/>
          </w:tcPr>
          <w:p>
            <w:r/>
            <w:r>
              <w:rPr>
                <w:b w:val="0"/>
                <w:sz w:val="17"/>
              </w:rPr>
              <w:t>Use explicit Demo/Test Providers behind the same provider interfaces where safe; do not stop development.</w:t>
            </w:r>
          </w:p>
        </w:tc>
      </w:tr>
      <w:tr>
        <w:tc>
          <w:tcPr>
            <w:tcW w:type="dxa" w:w="2880"/>
            <w:vAlign w:val="center"/>
          </w:tcPr>
          <w:p>
            <w:r/>
            <w:r>
              <w:rPr>
                <w:b w:val="0"/>
                <w:sz w:val="17"/>
              </w:rPr>
              <w:t>Can demo mode generate fake production AI/security events?</w:t>
            </w:r>
          </w:p>
        </w:tc>
        <w:tc>
          <w:tcPr>
            <w:tcW w:type="dxa" w:w="5832"/>
            <w:vAlign w:val="center"/>
          </w:tcPr>
          <w:p>
            <w:r/>
            <w:r>
              <w:rPr>
                <w:b w:val="0"/>
                <w:sz w:val="17"/>
              </w:rPr>
              <w:t>No. Demo results must be explicitly marked and environment-controlled.</w:t>
            </w:r>
          </w:p>
        </w:tc>
      </w:tr>
      <w:tr>
        <w:tc>
          <w:tcPr>
            <w:tcW w:type="dxa" w:w="2880"/>
            <w:vAlign w:val="center"/>
          </w:tcPr>
          <w:p>
            <w:r/>
            <w:r>
              <w:rPr>
                <w:b w:val="0"/>
                <w:sz w:val="17"/>
              </w:rPr>
              <w:t>What must be real even during development?</w:t>
            </w:r>
          </w:p>
        </w:tc>
        <w:tc>
          <w:tcPr>
            <w:tcW w:type="dxa" w:w="5832"/>
            <w:vAlign w:val="center"/>
          </w:tcPr>
          <w:p>
            <w:r/>
            <w:r>
              <w:rPr>
                <w:b w:val="0"/>
                <w:sz w:val="17"/>
              </w:rPr>
              <w:t>Core application/database/security contracts and any infrastructure classified as critical to safe state transitions; critical unavailable providers must fail safely.</w:t>
            </w:r>
          </w:p>
        </w:tc>
      </w:tr>
      <w:tr>
        <w:tc>
          <w:tcPr>
            <w:tcW w:type="dxa" w:w="2880"/>
            <w:vAlign w:val="center"/>
          </w:tcPr>
          <w:p>
            <w:r/>
            <w:r>
              <w:rPr>
                <w:b w:val="0"/>
                <w:sz w:val="17"/>
              </w:rPr>
              <w:t>How complete is the product?</w:t>
            </w:r>
          </w:p>
        </w:tc>
        <w:tc>
          <w:tcPr>
            <w:tcW w:type="dxa" w:w="5832"/>
            <w:vAlign w:val="center"/>
          </w:tcPr>
          <w:p>
            <w:r/>
            <w:r>
              <w:rPr>
                <w:b w:val="0"/>
                <w:sz w:val="17"/>
              </w:rPr>
              <w:t>Approximately 50–60% feature maturity, ~55% midpoint; foundation roughly 75–80%.</w:t>
            </w:r>
          </w:p>
        </w:tc>
      </w:tr>
      <w:tr>
        <w:tc>
          <w:tcPr>
            <w:tcW w:type="dxa" w:w="2880"/>
            <w:vAlign w:val="center"/>
          </w:tcPr>
          <w:p>
            <w:r/>
            <w:r>
              <w:rPr>
                <w:b w:val="0"/>
                <w:sz w:val="17"/>
              </w:rPr>
              <w:t>How production-ready is it?</w:t>
            </w:r>
          </w:p>
        </w:tc>
        <w:tc>
          <w:tcPr>
            <w:tcW w:type="dxa" w:w="5832"/>
            <w:vAlign w:val="center"/>
          </w:tcPr>
          <w:p>
            <w:r/>
            <w:r>
              <w:rPr>
                <w:b w:val="0"/>
                <w:sz w:val="17"/>
              </w:rPr>
              <w:t>Approximately 30–40% confidence by the conservative source-derived framing; final certification remains.</w:t>
            </w:r>
          </w:p>
        </w:tc>
      </w:tr>
      <w:tr>
        <w:tc>
          <w:tcPr>
            <w:tcW w:type="dxa" w:w="2880"/>
            <w:vAlign w:val="center"/>
          </w:tcPr>
          <w:p>
            <w:r/>
            <w:r>
              <w:rPr>
                <w:b w:val="0"/>
                <w:sz w:val="17"/>
              </w:rPr>
              <w:t>What is the immediate next step?</w:t>
            </w:r>
          </w:p>
        </w:tc>
        <w:tc>
          <w:tcPr>
            <w:tcW w:type="dxa" w:w="5832"/>
            <w:vAlign w:val="center"/>
          </w:tcPr>
          <w:p>
            <w:r/>
            <w:r>
              <w:rPr>
                <w:b w:val="0"/>
                <w:sz w:val="17"/>
              </w:rPr>
              <w:t>Continue S10 from R07–R09, then S11 → S12 → S13 → S14 → S15 → S16 → S17.</w:t>
            </w:r>
          </w:p>
        </w:tc>
      </w:tr>
      <w:tr>
        <w:tc>
          <w:tcPr>
            <w:tcW w:type="dxa" w:w="2880"/>
            <w:vAlign w:val="center"/>
          </w:tcPr>
          <w:p>
            <w:r/>
            <w:r>
              <w:rPr>
                <w:b w:val="0"/>
                <w:sz w:val="17"/>
              </w:rPr>
              <w:t>What happens after stabilization?</w:t>
            </w:r>
          </w:p>
        </w:tc>
        <w:tc>
          <w:tcPr>
            <w:tcW w:type="dxa" w:w="5832"/>
            <w:vAlign w:val="center"/>
          </w:tcPr>
          <w:p>
            <w:r/>
            <w:r>
              <w:rPr>
                <w:b w:val="0"/>
                <w:sz w:val="17"/>
              </w:rPr>
              <w:t>Resume feature completion across CRM, communication, CCTV, AI, realtime, workforce, reporting and operations, followed by provisioning and client certification.</w:t>
            </w:r>
          </w:p>
        </w:tc>
      </w:tr>
      <w:tr>
        <w:tc>
          <w:tcPr>
            <w:tcW w:type="dxa" w:w="2880"/>
            <w:vAlign w:val="center"/>
          </w:tcPr>
          <w:p>
            <w:r/>
            <w:r>
              <w:rPr>
                <w:b w:val="0"/>
                <w:sz w:val="17"/>
              </w:rPr>
              <w:t>What is the ultimate goal?</w:t>
            </w:r>
          </w:p>
        </w:tc>
        <w:tc>
          <w:tcPr>
            <w:tcW w:type="dxa" w:w="5832"/>
            <w:vAlign w:val="center"/>
          </w:tcPr>
          <w:p>
            <w:r/>
            <w:r>
              <w:rPr>
                <w:b w:val="0"/>
                <w:sz w:val="17"/>
              </w:rPr>
              <w:t>A repeatably deployable, secure, scalable platform that can accept a client's own infrastructure and .env without rewriting the product.</w:t>
            </w:r>
          </w:p>
        </w:tc>
      </w:tr>
    </w:tbl>
    <w:p/>
    <w:p/>
    <w:p>
      <w:pPr>
        <w:jc w:val="center"/>
      </w:pPr>
      <w:r>
        <w:rPr>
          <w:b/>
          <w:sz w:val="22"/>
        </w:rPr>
        <w:t>END OF PROJECT &amp; PROGRESS RECORD — 12 SEPTEMBER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