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RECENT UPDATES 01</w:t>
      </w:r>
    </w:p>
    <w:p>
      <w:pPr>
        <w:jc w:val="center"/>
      </w:pPr>
      <w:r>
        <w:rPr>
          <w:b/>
          <w:sz w:val="28"/>
        </w:rPr>
        <w:t>Date : 15th September 2026</w:t>
      </w:r>
    </w:p>
    <w:p>
      <w:pPr>
        <w:jc w:val="center"/>
      </w:pPr>
      <w:r>
        <w:rPr>
          <w:b/>
          <w:sz w:val="50"/>
        </w:rPr>
        <w:t>AI Security + Business CRM Platform</w:t>
      </w:r>
    </w:p>
    <w:p>
      <w:pPr>
        <w:jc w:val="center"/>
      </w:pPr>
      <w:r>
        <w:rPr>
          <w:sz w:val="26"/>
        </w:rPr>
        <w:t>Detailed continuation record after</w:t>
        <w:br/>
        <w:t>“Updates From fresh roadmap till now and Future Plan”</w:t>
      </w:r>
    </w:p>
    <w:p/>
    <w:tbl>
      <w:tblPr>
        <w:tblStyle w:val="TableGrid"/>
        <w:tblW w:type="auto" w:w="0"/>
        <w:tblLook w:firstColumn="1" w:firstRow="1" w:lastColumn="0" w:lastRow="0" w:noHBand="0" w:noVBand="1" w:val="04A0"/>
      </w:tblPr>
      <w:tblGrid>
        <w:gridCol w:w="9936"/>
      </w:tblGrid>
      <w:tr>
        <w:tc>
          <w:tcPr>
            <w:tcW w:type="dxa" w:w="9936"/>
            <w:shd w:fill="FFF2CC"/>
          </w:tcPr>
          <w:p>
            <w:r>
              <w:rPr>
                <w:b/>
              </w:rPr>
              <w:t>Document purpose</w:t>
              <w:br/>
              <w:t>This document records the work performed after the previous “Updates From fresh roadmap till now and Future Plan” checkpoint, through 15 September 2026. It preserves the exact current position, evidence collected, decisions made, completed work, remaining work, risks, migration handling, credential handling, rollout status and future execution plan. It is a durable handover/reference document, not a declaration that the entire product is production-certified.</w:t>
            </w:r>
          </w:p>
        </w:tc>
      </w:tr>
    </w:tbl>
    <w:p/>
    <w:p>
      <w:r>
        <w:t>Repository: Arunesh2004/CRM-v01</w:t>
      </w:r>
    </w:p>
    <w:p>
      <w:r>
        <w:t>Primary deployment: Vercel project crm-v01</w:t>
      </w:r>
    </w:p>
    <w:p>
      <w:r>
        <w:t>Current rollout: Existing CRM deployment for an internal client demo</w:t>
      </w:r>
    </w:p>
    <w:p>
      <w:r>
        <w:t>Production database target: TENANT_DATABASE, Supabase ref ughcghzhmsruhalngrxp</w:t>
      </w:r>
    </w:p>
    <w:p>
      <w:r>
        <w:t>Release candidate: cb0f8c4</w:t>
      </w:r>
    </w:p>
    <w:p>
      <w:r>
        <w:t>Checkpoint: 15 September 2026</w:t>
      </w:r>
    </w:p>
    <w:p>
      <w:r>
        <w:br w:type="page"/>
      </w:r>
    </w:p>
    <w:p>
      <w:pPr>
        <w:pStyle w:val="Heading1"/>
      </w:pPr>
      <w:r>
        <w:t>1. Executive Summary</w:t>
      </w:r>
    </w:p>
    <w:p>
      <w:r>
        <w:t>Since the previous roadmap document was created, the project has moved into a real controlled rollout exercise. The work has focused on converting a conditionally certified engineering baseline into an evidence-backed hosted deployment, verifying the live database, correcting defects found only through hosted execution, and applying the specifically authorized database security remediation.</w:t>
      </w:r>
    </w:p>
    <w:p>
      <w:r>
        <w:t>The most important characteristic of this period is disciplined handling of uncertainty. When the automated terminal could not access production credentials, execution stopped. When Prisma identified a migration graph that would have included an intentionally E2E-only migration, the team did not blindly run migrate deploy. The production mutation was performed only after target confirmation and exact SQL review in the correct TENANT_DATABASE SQL Editor.</w:t>
      </w:r>
    </w:p>
    <w:p>
      <w:r>
        <w:t>At this checkpoint, Phase 14 is active. Step 6 database/migration remediation is complete for the existing demo deployment. Step 7—controlled provider activation—is the immediate next gate. The current deployment is a controlled internal demo target, not the final customer production certification.</w:t>
      </w:r>
    </w:p>
    <w:p>
      <w:pPr>
        <w:pStyle w:val="Heading1"/>
      </w:pPr>
      <w:r>
        <w:t>2. Everything Done Since the Previous “Updates and Future plans” Document</w:t>
      </w:r>
    </w:p>
    <w:p>
      <w:pPr>
        <w:pStyle w:val="ListNumber"/>
      </w:pPr>
      <w:r>
        <w:t>Entered Phase 14 Controlled Production Rollout &amp; Real-Provider Activation.</w:t>
      </w:r>
    </w:p>
    <w:p>
      <w:pPr>
        <w:pStyle w:val="ListNumber"/>
      </w:pPr>
      <w:r>
        <w:t>Established the release candidate and prepared the existing Vercel deployment for a controlled demo.</w:t>
      </w:r>
    </w:p>
    <w:p>
      <w:pPr>
        <w:pStyle w:val="ListNumber"/>
      </w:pPr>
      <w:r>
        <w:t>Investigated actual hosted behavior instead of treating local build success as sufficient.</w:t>
      </w:r>
    </w:p>
    <w:p>
      <w:pPr>
        <w:pStyle w:val="ListNumber"/>
      </w:pPr>
      <w:r>
        <w:t>Discovered that /api/live and /api/ready were being intercepted by Clerk because they were missing from the public-route matcher in src/proxy.ts.</w:t>
      </w:r>
    </w:p>
    <w:p>
      <w:pPr>
        <w:pStyle w:val="ListNumber"/>
      </w:pPr>
      <w:r>
        <w:t>Corrected the proxy by adding explicit public matchers for /api/live and /api/ready while keeping business APIs protected.</w:t>
      </w:r>
    </w:p>
    <w:p>
      <w:pPr>
        <w:pStyle w:val="ListNumber"/>
      </w:pPr>
      <w:r>
        <w:t>Validated the proxy fix with TypeScript and ESLint.</w:t>
      </w:r>
    </w:p>
    <w:p>
      <w:pPr>
        <w:pStyle w:val="ListNumber"/>
      </w:pPr>
      <w:r>
        <w:t>Discovered a Next.js 16 dynamic-route params typing failure in the notifications read route during build.</w:t>
      </w:r>
    </w:p>
    <w:p>
      <w:pPr>
        <w:pStyle w:val="ListNumber"/>
      </w:pPr>
      <w:r>
        <w:t>Corrected the dynamic-route typing.</w:t>
      </w:r>
    </w:p>
    <w:p>
      <w:pPr>
        <w:pStyle w:val="ListNumber"/>
      </w:pPr>
      <w:r>
        <w:t>Discovered eager ADMIN_DATABASE_URL validation in database/utils/prisma-system.ts during build evaluation.</w:t>
      </w:r>
    </w:p>
    <w:p>
      <w:pPr>
        <w:pStyle w:val="ListNumber"/>
      </w:pPr>
      <w:r>
        <w:t>Refactored system Prisma initialization to lazy evaluation inside executeAsSystem(), preserving fail-closed behavior.</w:t>
      </w:r>
    </w:p>
    <w:p>
      <w:pPr>
        <w:pStyle w:val="ListNumber"/>
      </w:pPr>
      <w:r>
        <w:t>Configured ADMIN_DATABASE_URL in Vercel Production through the proper secret store.</w:t>
      </w:r>
    </w:p>
    <w:p>
      <w:pPr>
        <w:pStyle w:val="ListNumber"/>
      </w:pPr>
      <w:r>
        <w:t>Reached a READY hosted deployment.</w:t>
      </w:r>
    </w:p>
    <w:p>
      <w:pPr>
        <w:pStyle w:val="ListNumber"/>
      </w:pPr>
      <w:r>
        <w:t>Verified /api/live, /api/ready and /api/health return HTTP 200.</w:t>
      </w:r>
    </w:p>
    <w:p>
      <w:pPr>
        <w:pStyle w:val="ListNumber"/>
      </w:pPr>
      <w:r>
        <w:t>Verified an unauthenticated /api/deals request remained protected by Clerk, proving the health-route correction did not globally expose APIs.</w:t>
      </w:r>
    </w:p>
    <w:p>
      <w:pPr>
        <w:pStyle w:val="ListNumber"/>
      </w:pPr>
      <w:r>
        <w:t>Created and executed a read-only production database preflight against TENANT_DATABASE.</w:t>
      </w:r>
    </w:p>
    <w:p>
      <w:pPr>
        <w:pStyle w:val="ListNumber"/>
      </w:pPr>
      <w:r>
        <w:t>Confirmed canonical baseline 20260910000000_canonical_baseline was the known common production migration.</w:t>
      </w:r>
    </w:p>
    <w:p>
      <w:pPr>
        <w:pStyle w:val="ListNumber"/>
      </w:pPr>
      <w:r>
        <w:t>Confirmed migration 20260914000000_rls_defect_remediation was absent before mutation.</w:t>
      </w:r>
    </w:p>
    <w:p>
      <w:pPr>
        <w:pStyle w:val="ListNumber"/>
      </w:pPr>
      <w:r>
        <w:t>Confirmed AIAnalysisJob lacked the required tenant/RLS/index remediation before migration.</w:t>
      </w:r>
    </w:p>
    <w:p>
      <w:pPr>
        <w:pStyle w:val="ListNumber"/>
      </w:pPr>
      <w:r>
        <w:t>Confirmed CameraStreamInvalidation required the final remediation controls.</w:t>
      </w:r>
    </w:p>
    <w:p>
      <w:pPr>
        <w:pStyle w:val="ListNumber"/>
      </w:pPr>
      <w:r>
        <w:t>Confirmed affected AIAnalysisJob and CameraStreamInvalidation tables were empty before mutation.</w:t>
      </w:r>
    </w:p>
    <w:p>
      <w:pPr>
        <w:pStyle w:val="ListNumber"/>
      </w:pPr>
      <w:r>
        <w:t>Reviewed migration 140 in full and established that it is independent of migration 130.</w:t>
      </w:r>
    </w:p>
    <w:p>
      <w:pPr>
        <w:pStyle w:val="ListNumber"/>
      </w:pPr>
      <w:r>
        <w:t>Discovered that 20260913000000_add_call_session is explicitly local/E2E-only and must not be applied to production.</w:t>
      </w:r>
    </w:p>
    <w:p>
      <w:pPr>
        <w:pStyle w:val="ListNumber"/>
      </w:pPr>
      <w:r>
        <w:t>Rejected normal prisma migrate deploy because it would attempt all pending migrations, including forbidden migration 130.</w:t>
      </w:r>
    </w:p>
    <w:p>
      <w:pPr>
        <w:pStyle w:val="ListNumber"/>
      </w:pPr>
      <w:r>
        <w:t>Executed the exact migration 140 SQL manually in the Supabase SQL Editor for TENANT_DATABASE.</w:t>
      </w:r>
    </w:p>
    <w:p>
      <w:pPr>
        <w:pStyle w:val="ListNumber"/>
      </w:pPr>
      <w:r>
        <w:t>Verified tenant columns, NOT NULL constraints, RLS, FORCE RLS and tenant-isolation policies.</w:t>
      </w:r>
    </w:p>
    <w:p>
      <w:pPr>
        <w:pStyle w:val="ListNumber"/>
      </w:pPr>
      <w:r>
        <w:t>Verified the three required foreign keys.</w:t>
      </w:r>
    </w:p>
    <w:p>
      <w:pPr>
        <w:pStyle w:val="ListNumber"/>
      </w:pPr>
      <w:r>
        <w:t>Verified the two required tenant indexes.</w:t>
      </w:r>
    </w:p>
    <w:p>
      <w:pPr>
        <w:pStyle w:val="ListNumber"/>
      </w:pPr>
      <w:r>
        <w:t>Only after physical SQL execution and schema verification, reconciled Prisma migration history with migrate resolve.</w:t>
      </w:r>
    </w:p>
    <w:p>
      <w:pPr>
        <w:pStyle w:val="ListNumber"/>
      </w:pPr>
      <w:r>
        <w:t>Confirmed migration 140 has a finished_at timestamp and no rolled_back_at value.</w:t>
      </w:r>
    </w:p>
    <w:p>
      <w:pPr>
        <w:pStyle w:val="ListNumber"/>
      </w:pPr>
      <w:r>
        <w:t>Confirmed migration 130 remains absent from production migration history.</w:t>
      </w:r>
    </w:p>
    <w:p>
      <w:pPr>
        <w:pStyle w:val="ListNumber"/>
      </w:pPr>
      <w:r>
        <w:t>Audited the deployment path and found that current Vercel/CI builds do not automatically execute production migrations.</w:t>
      </w:r>
    </w:p>
    <w:p>
      <w:pPr>
        <w:pStyle w:val="ListNumber"/>
      </w:pPr>
      <w:r>
        <w:t>Documented the remaining migration-graph risk: a manual migrate:deploy invocation could accidentally apply migration 130.</w:t>
      </w:r>
    </w:p>
    <w:p>
      <w:pPr>
        <w:pStyle w:val="ListNumber"/>
      </w:pPr>
      <w:r>
        <w:t>Reached the current Phase 14 Step 7 provider-activation gate.</w:t>
      </w:r>
    </w:p>
    <w:p>
      <w:pPr>
        <w:pStyle w:val="Heading1"/>
      </w:pPr>
      <w:r>
        <w:t>3. Permanent Product and Deployment Architecture</w:t>
      </w:r>
    </w:p>
    <w:p>
      <w:r>
        <w:t>The current architecture is one shared codebase with a separately provisioned deployment/environment/infrastructure/credential set per company. This superseded the earlier conventional shared SaaS subscription model. Platform-level subscription/payment checkout is not a current development blocker; business revenue, products, pricing, quotations, approvals and reporting remain product capabilities.</w:t>
      </w:r>
    </w:p>
    <w:p>
      <w:r>
        <w:rPr>
          <w:rFonts w:ascii="Consolas" w:hAnsi="Consolas"/>
          <w:sz w:val="17"/>
        </w:rPr>
        <w:t>ONE CODEBASE</w:t>
        <w:br/>
        <w:t xml:space="preserve">    ↓</w:t>
        <w:br/>
        <w:t>ISOLATED COMPANY DEPLOYMENT</w:t>
        <w:br/>
        <w:t xml:space="preserve">    ├── Application hosting</w:t>
        <w:br/>
        <w:t xml:space="preserve">    ├── PostgreSQL database</w:t>
        <w:br/>
        <w:t xml:space="preserve">    ├── Authentication</w:t>
        <w:br/>
        <w:t xml:space="preserve">    ├── Provider credentials</w:t>
        <w:br/>
        <w:t xml:space="preserve">    ├── Object storage</w:t>
        <w:br/>
        <w:t xml:space="preserve">    ├── Realtime</w:t>
        <w:br/>
        <w:t xml:space="preserve">    ├── AI</w:t>
        <w:br/>
        <w:t xml:space="preserve">    ├── Email / SMS / telephony</w:t>
        <w:br/>
        <w:t xml:space="preserve">    └── CCTV / persistent workers</w:t>
      </w:r>
    </w:p>
    <w:p>
      <w:r>
        <w:t>The CRM core owns business rules, authorization, tenant context, lifecycle, auditability and workflows. External vendors sit behind explicit provider/infrastructure contracts. A client's credentials should configure the deployment rather than force a rewrite of core business logic.</w:t>
      </w:r>
    </w:p>
    <w:p>
      <w:pPr>
        <w:pStyle w:val="Heading1"/>
      </w:pPr>
      <w:r>
        <w:t>4. Current Environment Record</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Item</w:t>
            </w:r>
          </w:p>
        </w:tc>
        <w:tc>
          <w:tcPr>
            <w:tcW w:type="dxa" w:w="3312"/>
            <w:shd w:fill="D9EAF7"/>
          </w:tcPr>
          <w:p>
            <w:r>
              <w:rPr>
                <w:b/>
              </w:rPr>
              <w:t>Current record</w:t>
            </w:r>
          </w:p>
        </w:tc>
        <w:tc>
          <w:tcPr>
            <w:tcW w:type="dxa" w:w="3312"/>
            <w:shd w:fill="D9EAF7"/>
          </w:tcPr>
          <w:p>
            <w:r>
              <w:rPr>
                <w:b/>
              </w:rPr>
              <w:t>Interpretation</w:t>
            </w:r>
          </w:p>
        </w:tc>
      </w:tr>
      <w:tr>
        <w:tc>
          <w:tcPr>
            <w:tcW w:type="dxa" w:w="3312"/>
            <w:vAlign w:val="center"/>
          </w:tcPr>
          <w:p>
            <w:r>
              <w:rPr>
                <w:sz w:val="18"/>
              </w:rPr>
              <w:t>Repository</w:t>
            </w:r>
          </w:p>
        </w:tc>
        <w:tc>
          <w:tcPr>
            <w:tcW w:type="dxa" w:w="3312"/>
            <w:vAlign w:val="center"/>
          </w:tcPr>
          <w:p>
            <w:r>
              <w:rPr>
                <w:sz w:val="18"/>
              </w:rPr>
              <w:t>Arunesh2004/CRM-v01</w:t>
            </w:r>
          </w:p>
        </w:tc>
        <w:tc>
          <w:tcPr>
            <w:tcW w:type="dxa" w:w="3312"/>
            <w:vAlign w:val="center"/>
          </w:tcPr>
          <w:p>
            <w:r>
              <w:rPr>
                <w:sz w:val="18"/>
              </w:rPr>
              <w:t>Current implementation source.</w:t>
            </w:r>
          </w:p>
        </w:tc>
      </w:tr>
      <w:tr>
        <w:tc>
          <w:tcPr>
            <w:tcW w:type="dxa" w:w="3312"/>
            <w:vAlign w:val="center"/>
          </w:tcPr>
          <w:p>
            <w:r>
              <w:rPr>
                <w:sz w:val="18"/>
              </w:rPr>
              <w:t>Branch</w:t>
            </w:r>
          </w:p>
        </w:tc>
        <w:tc>
          <w:tcPr>
            <w:tcW w:type="dxa" w:w="3312"/>
            <w:vAlign w:val="center"/>
          </w:tcPr>
          <w:p>
            <w:r>
              <w:rPr>
                <w:sz w:val="18"/>
              </w:rPr>
              <w:t>main</w:t>
            </w:r>
          </w:p>
        </w:tc>
        <w:tc>
          <w:tcPr>
            <w:tcW w:type="dxa" w:w="3312"/>
            <w:vAlign w:val="center"/>
          </w:tcPr>
          <w:p>
            <w:r>
              <w:rPr>
                <w:sz w:val="18"/>
              </w:rPr>
              <w:t>Primary branch.</w:t>
            </w:r>
          </w:p>
        </w:tc>
      </w:tr>
      <w:tr>
        <w:tc>
          <w:tcPr>
            <w:tcW w:type="dxa" w:w="3312"/>
            <w:vAlign w:val="center"/>
          </w:tcPr>
          <w:p>
            <w:r>
              <w:rPr>
                <w:sz w:val="18"/>
              </w:rPr>
              <w:t>Vercel project</w:t>
            </w:r>
          </w:p>
        </w:tc>
        <w:tc>
          <w:tcPr>
            <w:tcW w:type="dxa" w:w="3312"/>
            <w:vAlign w:val="center"/>
          </w:tcPr>
          <w:p>
            <w:r>
              <w:rPr>
                <w:sz w:val="18"/>
              </w:rPr>
              <w:t>crm-v01</w:t>
            </w:r>
          </w:p>
        </w:tc>
        <w:tc>
          <w:tcPr>
            <w:tcW w:type="dxa" w:w="3312"/>
            <w:vAlign w:val="center"/>
          </w:tcPr>
          <w:p>
            <w:r>
              <w:rPr>
                <w:sz w:val="18"/>
              </w:rPr>
              <w:t>Existing hosted deployment.</w:t>
            </w:r>
          </w:p>
        </w:tc>
      </w:tr>
      <w:tr>
        <w:tc>
          <w:tcPr>
            <w:tcW w:type="dxa" w:w="3312"/>
            <w:vAlign w:val="center"/>
          </w:tcPr>
          <w:p>
            <w:r>
              <w:rPr>
                <w:sz w:val="18"/>
              </w:rPr>
              <w:t>Vercel alias</w:t>
            </w:r>
          </w:p>
        </w:tc>
        <w:tc>
          <w:tcPr>
            <w:tcW w:type="dxa" w:w="3312"/>
            <w:vAlign w:val="center"/>
          </w:tcPr>
          <w:p>
            <w:r>
              <w:rPr>
                <w:sz w:val="18"/>
              </w:rPr>
              <w:t>crm-v01.vercel.app</w:t>
            </w:r>
          </w:p>
        </w:tc>
        <w:tc>
          <w:tcPr>
            <w:tcW w:type="dxa" w:w="3312"/>
            <w:vAlign w:val="center"/>
          </w:tcPr>
          <w:p>
            <w:r>
              <w:rPr>
                <w:sz w:val="18"/>
              </w:rPr>
              <w:t>Hosted endpoint; not itself certification.</w:t>
            </w:r>
          </w:p>
        </w:tc>
      </w:tr>
      <w:tr>
        <w:tc>
          <w:tcPr>
            <w:tcW w:type="dxa" w:w="3312"/>
            <w:vAlign w:val="center"/>
          </w:tcPr>
          <w:p>
            <w:r>
              <w:rPr>
                <w:sz w:val="18"/>
              </w:rPr>
              <w:t>Production DB</w:t>
            </w:r>
          </w:p>
        </w:tc>
        <w:tc>
          <w:tcPr>
            <w:tcW w:type="dxa" w:w="3312"/>
            <w:vAlign w:val="center"/>
          </w:tcPr>
          <w:p>
            <w:r>
              <w:rPr>
                <w:sz w:val="18"/>
              </w:rPr>
              <w:t>TENANT_DATABASE</w:t>
            </w:r>
          </w:p>
        </w:tc>
        <w:tc>
          <w:tcPr>
            <w:tcW w:type="dxa" w:w="3312"/>
            <w:vAlign w:val="center"/>
          </w:tcPr>
          <w:p>
            <w:r>
              <w:rPr>
                <w:sz w:val="18"/>
              </w:rPr>
              <w:t>Correct application DB for current demo.</w:t>
            </w:r>
          </w:p>
        </w:tc>
      </w:tr>
      <w:tr>
        <w:tc>
          <w:tcPr>
            <w:tcW w:type="dxa" w:w="3312"/>
            <w:vAlign w:val="center"/>
          </w:tcPr>
          <w:p>
            <w:r>
              <w:rPr>
                <w:sz w:val="18"/>
              </w:rPr>
              <w:t>Supabase ref</w:t>
            </w:r>
          </w:p>
        </w:tc>
        <w:tc>
          <w:tcPr>
            <w:tcW w:type="dxa" w:w="3312"/>
            <w:vAlign w:val="center"/>
          </w:tcPr>
          <w:p>
            <w:r>
              <w:rPr>
                <w:sz w:val="18"/>
              </w:rPr>
              <w:t>ughcghzhmsruhalngrxp</w:t>
            </w:r>
          </w:p>
        </w:tc>
        <w:tc>
          <w:tcPr>
            <w:tcW w:type="dxa" w:w="3312"/>
            <w:vAlign w:val="center"/>
          </w:tcPr>
          <w:p>
            <w:r>
              <w:rPr>
                <w:sz w:val="18"/>
              </w:rPr>
              <w:t>Current production project reference.</w:t>
            </w:r>
          </w:p>
        </w:tc>
      </w:tr>
      <w:tr>
        <w:tc>
          <w:tcPr>
            <w:tcW w:type="dxa" w:w="3312"/>
            <w:vAlign w:val="center"/>
          </w:tcPr>
          <w:p>
            <w:r>
              <w:rPr>
                <w:sz w:val="18"/>
              </w:rPr>
              <w:t>ORM</w:t>
            </w:r>
          </w:p>
        </w:tc>
        <w:tc>
          <w:tcPr>
            <w:tcW w:type="dxa" w:w="3312"/>
            <w:vAlign w:val="center"/>
          </w:tcPr>
          <w:p>
            <w:r>
              <w:rPr>
                <w:sz w:val="18"/>
              </w:rPr>
              <w:t>Prisma 6.19.3</w:t>
            </w:r>
          </w:p>
        </w:tc>
        <w:tc>
          <w:tcPr>
            <w:tcW w:type="dxa" w:w="3312"/>
            <w:vAlign w:val="center"/>
          </w:tcPr>
          <w:p>
            <w:r>
              <w:rPr>
                <w:sz w:val="18"/>
              </w:rPr>
              <w:t>Current ORM/tooling.</w:t>
            </w:r>
          </w:p>
        </w:tc>
      </w:tr>
      <w:tr>
        <w:tc>
          <w:tcPr>
            <w:tcW w:type="dxa" w:w="3312"/>
            <w:vAlign w:val="center"/>
          </w:tcPr>
          <w:p>
            <w:r>
              <w:rPr>
                <w:sz w:val="18"/>
              </w:rPr>
              <w:t>Framework</w:t>
            </w:r>
          </w:p>
        </w:tc>
        <w:tc>
          <w:tcPr>
            <w:tcW w:type="dxa" w:w="3312"/>
            <w:vAlign w:val="center"/>
          </w:tcPr>
          <w:p>
            <w:r>
              <w:rPr>
                <w:sz w:val="18"/>
              </w:rPr>
              <w:t>Next.js 16.3.5</w:t>
            </w:r>
          </w:p>
        </w:tc>
        <w:tc>
          <w:tcPr>
            <w:tcW w:type="dxa" w:w="3312"/>
            <w:vAlign w:val="center"/>
          </w:tcPr>
          <w:p>
            <w:r>
              <w:rPr>
                <w:sz w:val="18"/>
              </w:rPr>
              <w:t>Current patched framework version.</w:t>
            </w:r>
          </w:p>
        </w:tc>
      </w:tr>
      <w:tr>
        <w:tc>
          <w:tcPr>
            <w:tcW w:type="dxa" w:w="3312"/>
            <w:vAlign w:val="center"/>
          </w:tcPr>
          <w:p>
            <w:r>
              <w:rPr>
                <w:sz w:val="18"/>
              </w:rPr>
              <w:t>Release candidate</w:t>
            </w:r>
          </w:p>
        </w:tc>
        <w:tc>
          <w:tcPr>
            <w:tcW w:type="dxa" w:w="3312"/>
            <w:vAlign w:val="center"/>
          </w:tcPr>
          <w:p>
            <w:r>
              <w:rPr>
                <w:sz w:val="18"/>
              </w:rPr>
              <w:t>cb0f8c4</w:t>
            </w:r>
          </w:p>
        </w:tc>
        <w:tc>
          <w:tcPr>
            <w:tcW w:type="dxa" w:w="3312"/>
            <w:vAlign w:val="center"/>
          </w:tcPr>
          <w:p>
            <w:r>
              <w:rPr>
                <w:sz w:val="18"/>
              </w:rPr>
              <w:t>Current rollout baseline.</w:t>
            </w:r>
          </w:p>
        </w:tc>
      </w:tr>
      <w:tr>
        <w:tc>
          <w:tcPr>
            <w:tcW w:type="dxa" w:w="3312"/>
            <w:vAlign w:val="center"/>
          </w:tcPr>
          <w:p>
            <w:r>
              <w:rPr>
                <w:sz w:val="18"/>
              </w:rPr>
              <w:t>Rollout purpose</w:t>
            </w:r>
          </w:p>
        </w:tc>
        <w:tc>
          <w:tcPr>
            <w:tcW w:type="dxa" w:w="3312"/>
            <w:vAlign w:val="center"/>
          </w:tcPr>
          <w:p>
            <w:r>
              <w:rPr>
                <w:sz w:val="18"/>
              </w:rPr>
              <w:t>Internal client demo</w:t>
            </w:r>
          </w:p>
        </w:tc>
        <w:tc>
          <w:tcPr>
            <w:tcW w:type="dxa" w:w="3312"/>
            <w:vAlign w:val="center"/>
          </w:tcPr>
          <w:p>
            <w:r>
              <w:rPr>
                <w:sz w:val="18"/>
              </w:rPr>
              <w:t>Not final customer certification.</w:t>
            </w:r>
          </w:p>
        </w:tc>
      </w:tr>
    </w:tbl>
    <w:p/>
    <w:p>
      <w:pPr>
        <w:pStyle w:val="Heading1"/>
      </w:pPr>
      <w:r>
        <w:t>5. Hosted Deployment Defects and Resolutions</w:t>
      </w:r>
    </w:p>
    <w:p>
      <w:pPr>
        <w:pStyle w:val="Heading2"/>
      </w:pPr>
      <w:r>
        <w:t>5.1 Health endpoint routing defect</w:t>
      </w:r>
    </w:p>
    <w:p>
      <w:r>
        <w:t>Hosted verification initially returned protection/rewrite behavior for /api/live and /api/ready. Investigation established that src/proxy.ts was the active Next.js 16 routing mechanism and that the public-route matcher simply omitted these two health endpoints.</w:t>
      </w:r>
    </w:p>
    <w:p>
      <w:pPr>
        <w:pStyle w:val="ListBullet"/>
      </w:pPr>
      <w:r>
        <w:t>Added /api/live(.*).</w:t>
      </w:r>
    </w:p>
    <w:p>
      <w:pPr>
        <w:pStyle w:val="ListBullet"/>
      </w:pPr>
      <w:r>
        <w:t>Added /api/ready(.*).</w:t>
      </w:r>
    </w:p>
    <w:p>
      <w:pPr>
        <w:pStyle w:val="ListBullet"/>
      </w:pPr>
      <w:r>
        <w:t>Did not make all /api routes public.</w:t>
      </w:r>
    </w:p>
    <w:p>
      <w:pPr>
        <w:pStyle w:val="ListBullet"/>
      </w:pPr>
      <w:r>
        <w:t>Verified the protected /api/deals path remained protected.</w:t>
      </w:r>
    </w:p>
    <w:p>
      <w:pPr>
        <w:pStyle w:val="ListBullet"/>
      </w:pPr>
      <w:r>
        <w:t>Hosted health endpoints subsequently returned 200.</w:t>
      </w:r>
    </w:p>
    <w:p>
      <w:pPr>
        <w:pStyle w:val="Heading2"/>
      </w:pPr>
      <w:r>
        <w:t>5.2 Next.js dynamic route typing defect</w:t>
      </w:r>
    </w:p>
    <w:p>
      <w:r>
        <w:t>The notification read route used synchronous dynamic params incompatible with the Next.js 16 route contract. The typing was corrected during release validation.</w:t>
      </w:r>
    </w:p>
    <w:p>
      <w:pPr>
        <w:pStyle w:val="Heading2"/>
      </w:pPr>
      <w:r>
        <w:t>5.3 Eager system Prisma initialization</w:t>
      </w:r>
    </w:p>
    <w:p>
      <w:r>
        <w:t>The system Prisma helper evaluated ADMIN_DATABASE_URL too early. This was changed to lazy evaluation inside executeAsSystem(), preserving fail-closed semantics while avoiding an unnecessary build-time crash.</w:t>
      </w:r>
    </w:p>
    <w:p>
      <w:pPr>
        <w:pStyle w:val="Heading1"/>
      </w:pPr>
      <w:r>
        <w:t>6. Production Database Preflight</w:t>
      </w:r>
    </w:p>
    <w:p>
      <w:r>
        <w:t>The production database was treated as an evidence problem. A read-only preflight inspected PostgreSQL version, migration history, schema metadata, foreign keys, indexes, RLS and policies before mutation.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Check</w:t>
            </w:r>
          </w:p>
        </w:tc>
        <w:tc>
          <w:tcPr>
            <w:tcW w:type="dxa" w:w="3312"/>
            <w:shd w:fill="D9EAF7"/>
          </w:tcPr>
          <w:p>
            <w:r>
              <w:rPr>
                <w:b/>
              </w:rPr>
              <w:t>Before migration</w:t>
            </w:r>
          </w:p>
        </w:tc>
        <w:tc>
          <w:tcPr>
            <w:tcW w:type="dxa" w:w="3312"/>
            <w:shd w:fill="D9EAF7"/>
          </w:tcPr>
          <w:p>
            <w:r>
              <w:rPr>
                <w:b/>
              </w:rPr>
              <w:t>Meaning</w:t>
            </w:r>
          </w:p>
        </w:tc>
      </w:tr>
      <w:tr>
        <w:tc>
          <w:tcPr>
            <w:tcW w:type="dxa" w:w="3312"/>
            <w:vAlign w:val="center"/>
          </w:tcPr>
          <w:p>
            <w:r>
              <w:rPr>
                <w:sz w:val="18"/>
              </w:rPr>
              <w:t>PostgreSQL</w:t>
            </w:r>
          </w:p>
        </w:tc>
        <w:tc>
          <w:tcPr>
            <w:tcW w:type="dxa" w:w="3312"/>
            <w:vAlign w:val="center"/>
          </w:tcPr>
          <w:p>
            <w:r>
              <w:rPr>
                <w:sz w:val="18"/>
              </w:rPr>
              <w:t>17.6</w:t>
            </w:r>
          </w:p>
        </w:tc>
        <w:tc>
          <w:tcPr>
            <w:tcW w:type="dxa" w:w="3312"/>
            <w:vAlign w:val="center"/>
          </w:tcPr>
          <w:p>
            <w:r>
              <w:rPr>
                <w:sz w:val="18"/>
              </w:rPr>
              <w:t>Live DB version confirmed.</w:t>
            </w:r>
          </w:p>
        </w:tc>
      </w:tr>
      <w:tr>
        <w:tc>
          <w:tcPr>
            <w:tcW w:type="dxa" w:w="3312"/>
            <w:vAlign w:val="center"/>
          </w:tcPr>
          <w:p>
            <w:r>
              <w:rPr>
                <w:sz w:val="18"/>
              </w:rPr>
              <w:t>Canonical baseline</w:t>
            </w:r>
          </w:p>
        </w:tc>
        <w:tc>
          <w:tcPr>
            <w:tcW w:type="dxa" w:w="3312"/>
            <w:vAlign w:val="center"/>
          </w:tcPr>
          <w:p>
            <w:r>
              <w:rPr>
                <w:sz w:val="18"/>
              </w:rPr>
              <w:t>20260910000000_canonical_baseline</w:t>
            </w:r>
          </w:p>
        </w:tc>
        <w:tc>
          <w:tcPr>
            <w:tcW w:type="dxa" w:w="3312"/>
            <w:vAlign w:val="center"/>
          </w:tcPr>
          <w:p>
            <w:r>
              <w:rPr>
                <w:sz w:val="18"/>
              </w:rPr>
              <w:t>Known common baseline.</w:t>
            </w:r>
          </w:p>
        </w:tc>
      </w:tr>
      <w:tr>
        <w:tc>
          <w:tcPr>
            <w:tcW w:type="dxa" w:w="3312"/>
            <w:vAlign w:val="center"/>
          </w:tcPr>
          <w:p>
            <w:r>
              <w:rPr>
                <w:sz w:val="18"/>
              </w:rPr>
              <w:t>Migration 140</w:t>
            </w:r>
          </w:p>
        </w:tc>
        <w:tc>
          <w:tcPr>
            <w:tcW w:type="dxa" w:w="3312"/>
            <w:vAlign w:val="center"/>
          </w:tcPr>
          <w:p>
            <w:r>
              <w:rPr>
                <w:sz w:val="18"/>
              </w:rPr>
              <w:t>Absent</w:t>
            </w:r>
          </w:p>
        </w:tc>
        <w:tc>
          <w:tcPr>
            <w:tcW w:type="dxa" w:w="3312"/>
            <w:vAlign w:val="center"/>
          </w:tcPr>
          <w:p>
            <w:r>
              <w:rPr>
                <w:sz w:val="18"/>
              </w:rPr>
              <w:t>Remediation not yet applied.</w:t>
            </w:r>
          </w:p>
        </w:tc>
      </w:tr>
      <w:tr>
        <w:tc>
          <w:tcPr>
            <w:tcW w:type="dxa" w:w="3312"/>
            <w:vAlign w:val="center"/>
          </w:tcPr>
          <w:p>
            <w:r>
              <w:rPr>
                <w:sz w:val="18"/>
              </w:rPr>
              <w:t>AIAnalysisJob tenantId</w:t>
            </w:r>
          </w:p>
        </w:tc>
        <w:tc>
          <w:tcPr>
            <w:tcW w:type="dxa" w:w="3312"/>
            <w:vAlign w:val="center"/>
          </w:tcPr>
          <w:p>
            <w:r>
              <w:rPr>
                <w:sz w:val="18"/>
              </w:rPr>
              <w:t>Missing</w:t>
            </w:r>
          </w:p>
        </w:tc>
        <w:tc>
          <w:tcPr>
            <w:tcW w:type="dxa" w:w="3312"/>
            <w:vAlign w:val="center"/>
          </w:tcPr>
          <w:p>
            <w:r>
              <w:rPr>
                <w:sz w:val="18"/>
              </w:rPr>
              <w:t>Defect confirmed.</w:t>
            </w:r>
          </w:p>
        </w:tc>
      </w:tr>
      <w:tr>
        <w:tc>
          <w:tcPr>
            <w:tcW w:type="dxa" w:w="3312"/>
            <w:vAlign w:val="center"/>
          </w:tcPr>
          <w:p>
            <w:r>
              <w:rPr>
                <w:sz w:val="18"/>
              </w:rPr>
              <w:t>AIAnalysisJob RLS</w:t>
            </w:r>
          </w:p>
        </w:tc>
        <w:tc>
          <w:tcPr>
            <w:tcW w:type="dxa" w:w="3312"/>
            <w:vAlign w:val="center"/>
          </w:tcPr>
          <w:p>
            <w:r>
              <w:rPr>
                <w:sz w:val="18"/>
              </w:rPr>
              <w:t>Disabled</w:t>
            </w:r>
          </w:p>
        </w:tc>
        <w:tc>
          <w:tcPr>
            <w:tcW w:type="dxa" w:w="3312"/>
            <w:vAlign w:val="center"/>
          </w:tcPr>
          <w:p>
            <w:r>
              <w:rPr>
                <w:sz w:val="18"/>
              </w:rPr>
              <w:t>Defect confirmed.</w:t>
            </w:r>
          </w:p>
        </w:tc>
      </w:tr>
      <w:tr>
        <w:tc>
          <w:tcPr>
            <w:tcW w:type="dxa" w:w="3312"/>
            <w:vAlign w:val="center"/>
          </w:tcPr>
          <w:p>
            <w:r>
              <w:rPr>
                <w:sz w:val="18"/>
              </w:rPr>
              <w:t>AIAnalysisJob tenant index</w:t>
            </w:r>
          </w:p>
        </w:tc>
        <w:tc>
          <w:tcPr>
            <w:tcW w:type="dxa" w:w="3312"/>
            <w:vAlign w:val="center"/>
          </w:tcPr>
          <w:p>
            <w:r>
              <w:rPr>
                <w:sz w:val="18"/>
              </w:rPr>
              <w:t>Missing</w:t>
            </w:r>
          </w:p>
        </w:tc>
        <w:tc>
          <w:tcPr>
            <w:tcW w:type="dxa" w:w="3312"/>
            <w:vAlign w:val="center"/>
          </w:tcPr>
          <w:p>
            <w:r>
              <w:rPr>
                <w:sz w:val="18"/>
              </w:rPr>
              <w:t>Defect confirmed.</w:t>
            </w:r>
          </w:p>
        </w:tc>
      </w:tr>
      <w:tr>
        <w:tc>
          <w:tcPr>
            <w:tcW w:type="dxa" w:w="3312"/>
            <w:vAlign w:val="center"/>
          </w:tcPr>
          <w:p>
            <w:r>
              <w:rPr>
                <w:sz w:val="18"/>
              </w:rPr>
              <w:t>Affected rows</w:t>
            </w:r>
          </w:p>
        </w:tc>
        <w:tc>
          <w:tcPr>
            <w:tcW w:type="dxa" w:w="3312"/>
            <w:vAlign w:val="center"/>
          </w:tcPr>
          <w:p>
            <w:r>
              <w:rPr>
                <w:sz w:val="18"/>
              </w:rPr>
              <w:t>AIAnalysisJob 0; CameraStreamInvalidation 0</w:t>
            </w:r>
          </w:p>
        </w:tc>
        <w:tc>
          <w:tcPr>
            <w:tcW w:type="dxa" w:w="3312"/>
            <w:vAlign w:val="center"/>
          </w:tcPr>
          <w:p>
            <w:r>
              <w:rPr>
                <w:sz w:val="18"/>
              </w:rPr>
              <w:t>No backfill collision identified.</w:t>
            </w:r>
          </w:p>
        </w:tc>
      </w:tr>
    </w:tbl>
    <w:p/>
    <w:p>
      <w:pPr>
        <w:pStyle w:val="Heading1"/>
      </w:pPr>
      <w:r>
        <w:t>7. Migration 130 vs Migration 140</w:t>
      </w:r>
    </w:p>
    <w:p>
      <w:r>
        <w:t>Prisma status showed two local migrations after the canonical baseline: 20260913000000_add_call_session and 20260914000000_rls_defect_remediation. Investigation of migration 130 found an explicit repository instruction that it is local/E2E-only and must not be applied to production.</w:t>
      </w:r>
    </w:p>
    <w:p>
      <w:r>
        <w:t>Migration 130 creates CallSessionStatus, CallSession and related structures. Migration 140 operates on AIAnalysisJob and CameraStreamInvalidation. There are no structural dependencies between them, so 140 can be applied independently.</w:t>
      </w:r>
    </w:p>
    <w:tbl>
      <w:tblPr>
        <w:tblStyle w:val="TableGrid"/>
        <w:tblW w:type="auto" w:w="0"/>
        <w:tblLook w:firstColumn="1" w:firstRow="1" w:lastColumn="0" w:lastRow="0" w:noHBand="0" w:noVBand="1" w:val="04A0"/>
      </w:tblPr>
      <w:tblGrid>
        <w:gridCol w:w="9936"/>
      </w:tblGrid>
      <w:tr>
        <w:tc>
          <w:tcPr>
            <w:tcW w:type="dxa" w:w="9936"/>
            <w:shd w:fill="FFF2CC"/>
          </w:tcPr>
          <w:p>
            <w:r>
              <w:rPr>
                <w:b/>
              </w:rPr>
              <w:t>Decision</w:t>
              <w:br/>
              <w:t>Production must not use an unrestricted migrate deploy while migration 130 remains in the local active migration directory. For this rollout, only the explicitly authorized migration 140 was executed.</w:t>
            </w:r>
          </w:p>
        </w:tc>
      </w:tr>
    </w:tbl>
    <w:p/>
    <w:p>
      <w:pPr>
        <w:pStyle w:val="Heading1"/>
      </w:pPr>
      <w:r>
        <w:t>8. Exact Production Migration 140 Execution</w:t>
      </w:r>
    </w:p>
    <w:p>
      <w:pPr>
        <w:pStyle w:val="ListNumber"/>
      </w:pPr>
      <w:r>
        <w:t>Confirmed TENANT_DATABASE target.</w:t>
      </w:r>
    </w:p>
    <w:p>
      <w:pPr>
        <w:pStyle w:val="ListNumber"/>
      </w:pPr>
      <w:r>
        <w:t>Confirmed migration 140 was absent.</w:t>
      </w:r>
    </w:p>
    <w:p>
      <w:pPr>
        <w:pStyle w:val="ListNumber"/>
      </w:pPr>
      <w:r>
        <w:t>Read the complete migration SQL.</w:t>
      </w:r>
    </w:p>
    <w:p>
      <w:pPr>
        <w:pStyle w:val="ListNumber"/>
      </w:pPr>
      <w:r>
        <w:t>Confirmed migration 130 is not production-authorized.</w:t>
      </w:r>
    </w:p>
    <w:p>
      <w:pPr>
        <w:pStyle w:val="ListNumber"/>
      </w:pPr>
      <w:r>
        <w:t>Confirmed 140 is independent.</w:t>
      </w:r>
    </w:p>
    <w:p>
      <w:pPr>
        <w:pStyle w:val="ListNumber"/>
      </w:pPr>
      <w:r>
        <w:t>Confirmed affected tables were empty.</w:t>
      </w:r>
    </w:p>
    <w:p>
      <w:pPr>
        <w:pStyle w:val="ListNumber"/>
      </w:pPr>
      <w:r>
        <w:t>Executed the exact repository migration.sql for 140 in TENANT_DATABASE SQL Editor.</w:t>
      </w:r>
    </w:p>
    <w:p>
      <w:pPr>
        <w:pStyle w:val="ListNumber"/>
      </w:pPr>
      <w:r>
        <w:t>Performed read-only schema verification.</w:t>
      </w:r>
    </w:p>
    <w:p>
      <w:pPr>
        <w:pStyle w:val="ListNumber"/>
      </w:pPr>
      <w:r>
        <w:t>Verified foreign keys and indexes.</w:t>
      </w:r>
    </w:p>
    <w:p>
      <w:pPr>
        <w:pStyle w:val="ListNumber"/>
      </w:pPr>
      <w:r>
        <w:t>Reconciled Prisma bookkeeping only after physical SQL verification.</w:t>
      </w:r>
    </w:p>
    <w:p>
      <w:pPr>
        <w:pStyle w:val="Heading1"/>
      </w:pPr>
      <w:r>
        <w:t>9. Post-Migration Schema Evidence</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Control</w:t>
            </w:r>
          </w:p>
        </w:tc>
        <w:tc>
          <w:tcPr>
            <w:tcW w:type="dxa" w:w="4968"/>
            <w:shd w:fill="D9EAF7"/>
          </w:tcPr>
          <w:p>
            <w:r>
              <w:rPr>
                <w:b/>
              </w:rPr>
              <w:t>Final result</w:t>
            </w:r>
          </w:p>
        </w:tc>
      </w:tr>
      <w:tr>
        <w:tc>
          <w:tcPr>
            <w:tcW w:type="dxa" w:w="4968"/>
            <w:vAlign w:val="center"/>
          </w:tcPr>
          <w:p>
            <w:r>
              <w:rPr>
                <w:sz w:val="18"/>
              </w:rPr>
              <w:t>AIAnalysisJob.tenantId</w:t>
            </w:r>
          </w:p>
        </w:tc>
        <w:tc>
          <w:tcPr>
            <w:tcW w:type="dxa" w:w="4968"/>
            <w:vAlign w:val="center"/>
          </w:tcPr>
          <w:p>
            <w:r>
              <w:rPr>
                <w:sz w:val="18"/>
              </w:rPr>
              <w:t>Exists; NOT NULL</w:t>
            </w:r>
          </w:p>
        </w:tc>
      </w:tr>
      <w:tr>
        <w:tc>
          <w:tcPr>
            <w:tcW w:type="dxa" w:w="4968"/>
            <w:vAlign w:val="center"/>
          </w:tcPr>
          <w:p>
            <w:r>
              <w:rPr>
                <w:sz w:val="18"/>
              </w:rPr>
              <w:t>CameraStreamInvalidation.tenantId</w:t>
            </w:r>
          </w:p>
        </w:tc>
        <w:tc>
          <w:tcPr>
            <w:tcW w:type="dxa" w:w="4968"/>
            <w:vAlign w:val="center"/>
          </w:tcPr>
          <w:p>
            <w:r>
              <w:rPr>
                <w:sz w:val="18"/>
              </w:rPr>
              <w:t>Exists; NOT NULL</w:t>
            </w:r>
          </w:p>
        </w:tc>
      </w:tr>
      <w:tr>
        <w:tc>
          <w:tcPr>
            <w:tcW w:type="dxa" w:w="4968"/>
            <w:vAlign w:val="center"/>
          </w:tcPr>
          <w:p>
            <w:r>
              <w:rPr>
                <w:sz w:val="18"/>
              </w:rPr>
              <w:t>CameraStreamInvalidation.cameraId</w:t>
            </w:r>
          </w:p>
        </w:tc>
        <w:tc>
          <w:tcPr>
            <w:tcW w:type="dxa" w:w="4968"/>
            <w:vAlign w:val="center"/>
          </w:tcPr>
          <w:p>
            <w:r>
              <w:rPr>
                <w:sz w:val="18"/>
              </w:rPr>
              <w:t>Exists; NOT NULL</w:t>
            </w:r>
          </w:p>
        </w:tc>
      </w:tr>
      <w:tr>
        <w:tc>
          <w:tcPr>
            <w:tcW w:type="dxa" w:w="4968"/>
            <w:vAlign w:val="center"/>
          </w:tcPr>
          <w:p>
            <w:r>
              <w:rPr>
                <w:sz w:val="18"/>
              </w:rPr>
              <w:t>AIAnalysisJob → Tenant.id</w:t>
            </w:r>
          </w:p>
        </w:tc>
        <w:tc>
          <w:tcPr>
            <w:tcW w:type="dxa" w:w="4968"/>
            <w:vAlign w:val="center"/>
          </w:tcPr>
          <w:p>
            <w:r>
              <w:rPr>
                <w:sz w:val="18"/>
              </w:rPr>
              <w:t>FK verified</w:t>
            </w:r>
          </w:p>
        </w:tc>
      </w:tr>
      <w:tr>
        <w:tc>
          <w:tcPr>
            <w:tcW w:type="dxa" w:w="4968"/>
            <w:vAlign w:val="center"/>
          </w:tcPr>
          <w:p>
            <w:r>
              <w:rPr>
                <w:sz w:val="18"/>
              </w:rPr>
              <w:t>CameraStreamInvalidation → Tenant.id</w:t>
            </w:r>
          </w:p>
        </w:tc>
        <w:tc>
          <w:tcPr>
            <w:tcW w:type="dxa" w:w="4968"/>
            <w:vAlign w:val="center"/>
          </w:tcPr>
          <w:p>
            <w:r>
              <w:rPr>
                <w:sz w:val="18"/>
              </w:rPr>
              <w:t>FK verified</w:t>
            </w:r>
          </w:p>
        </w:tc>
      </w:tr>
      <w:tr>
        <w:tc>
          <w:tcPr>
            <w:tcW w:type="dxa" w:w="4968"/>
            <w:vAlign w:val="center"/>
          </w:tcPr>
          <w:p>
            <w:r>
              <w:rPr>
                <w:sz w:val="18"/>
              </w:rPr>
              <w:t>CameraStreamInvalidation → Camera.id</w:t>
            </w:r>
          </w:p>
        </w:tc>
        <w:tc>
          <w:tcPr>
            <w:tcW w:type="dxa" w:w="4968"/>
            <w:vAlign w:val="center"/>
          </w:tcPr>
          <w:p>
            <w:r>
              <w:rPr>
                <w:sz w:val="18"/>
              </w:rPr>
              <w:t>FK verified</w:t>
            </w:r>
          </w:p>
        </w:tc>
      </w:tr>
      <w:tr>
        <w:tc>
          <w:tcPr>
            <w:tcW w:type="dxa" w:w="4968"/>
            <w:vAlign w:val="center"/>
          </w:tcPr>
          <w:p>
            <w:r>
              <w:rPr>
                <w:sz w:val="18"/>
              </w:rPr>
              <w:t>AIAnalysisJob_tenantId_idx</w:t>
            </w:r>
          </w:p>
        </w:tc>
        <w:tc>
          <w:tcPr>
            <w:tcW w:type="dxa" w:w="4968"/>
            <w:vAlign w:val="center"/>
          </w:tcPr>
          <w:p>
            <w:r>
              <w:rPr>
                <w:sz w:val="18"/>
              </w:rPr>
              <w:t>Verified</w:t>
            </w:r>
          </w:p>
        </w:tc>
      </w:tr>
      <w:tr>
        <w:tc>
          <w:tcPr>
            <w:tcW w:type="dxa" w:w="4968"/>
            <w:vAlign w:val="center"/>
          </w:tcPr>
          <w:p>
            <w:r>
              <w:rPr>
                <w:sz w:val="18"/>
              </w:rPr>
              <w:t>CameraStreamInvalidation_tenantId_idx</w:t>
            </w:r>
          </w:p>
        </w:tc>
        <w:tc>
          <w:tcPr>
            <w:tcW w:type="dxa" w:w="4968"/>
            <w:vAlign w:val="center"/>
          </w:tcPr>
          <w:p>
            <w:r>
              <w:rPr>
                <w:sz w:val="18"/>
              </w:rPr>
              <w:t>Verified</w:t>
            </w:r>
          </w:p>
        </w:tc>
      </w:tr>
      <w:tr>
        <w:tc>
          <w:tcPr>
            <w:tcW w:type="dxa" w:w="4968"/>
            <w:vAlign w:val="center"/>
          </w:tcPr>
          <w:p>
            <w:r>
              <w:rPr>
                <w:sz w:val="18"/>
              </w:rPr>
              <w:t>AIAnalysisJob RLS</w:t>
            </w:r>
          </w:p>
        </w:tc>
        <w:tc>
          <w:tcPr>
            <w:tcW w:type="dxa" w:w="4968"/>
            <w:vAlign w:val="center"/>
          </w:tcPr>
          <w:p>
            <w:r>
              <w:rPr>
                <w:sz w:val="18"/>
              </w:rPr>
              <w:t>Enabled</w:t>
            </w:r>
          </w:p>
        </w:tc>
      </w:tr>
      <w:tr>
        <w:tc>
          <w:tcPr>
            <w:tcW w:type="dxa" w:w="4968"/>
            <w:vAlign w:val="center"/>
          </w:tcPr>
          <w:p>
            <w:r>
              <w:rPr>
                <w:sz w:val="18"/>
              </w:rPr>
              <w:t>AIAnalysisJob FORCE RLS</w:t>
            </w:r>
          </w:p>
        </w:tc>
        <w:tc>
          <w:tcPr>
            <w:tcW w:type="dxa" w:w="4968"/>
            <w:vAlign w:val="center"/>
          </w:tcPr>
          <w:p>
            <w:r>
              <w:rPr>
                <w:sz w:val="18"/>
              </w:rPr>
              <w:t>Enabled</w:t>
            </w:r>
          </w:p>
        </w:tc>
      </w:tr>
      <w:tr>
        <w:tc>
          <w:tcPr>
            <w:tcW w:type="dxa" w:w="4968"/>
            <w:vAlign w:val="center"/>
          </w:tcPr>
          <w:p>
            <w:r>
              <w:rPr>
                <w:sz w:val="18"/>
              </w:rPr>
              <w:t>CameraStreamInvalidation RLS</w:t>
            </w:r>
          </w:p>
        </w:tc>
        <w:tc>
          <w:tcPr>
            <w:tcW w:type="dxa" w:w="4968"/>
            <w:vAlign w:val="center"/>
          </w:tcPr>
          <w:p>
            <w:r>
              <w:rPr>
                <w:sz w:val="18"/>
              </w:rPr>
              <w:t>Enabled</w:t>
            </w:r>
          </w:p>
        </w:tc>
      </w:tr>
      <w:tr>
        <w:tc>
          <w:tcPr>
            <w:tcW w:type="dxa" w:w="4968"/>
            <w:vAlign w:val="center"/>
          </w:tcPr>
          <w:p>
            <w:r>
              <w:rPr>
                <w:sz w:val="18"/>
              </w:rPr>
              <w:t>CameraStreamInvalidation FORCE RLS</w:t>
            </w:r>
          </w:p>
        </w:tc>
        <w:tc>
          <w:tcPr>
            <w:tcW w:type="dxa" w:w="4968"/>
            <w:vAlign w:val="center"/>
          </w:tcPr>
          <w:p>
            <w:r>
              <w:rPr>
                <w:sz w:val="18"/>
              </w:rPr>
              <w:t>Enabled</w:t>
            </w:r>
          </w:p>
        </w:tc>
      </w:tr>
      <w:tr>
        <w:tc>
          <w:tcPr>
            <w:tcW w:type="dxa" w:w="4968"/>
            <w:vAlign w:val="center"/>
          </w:tcPr>
          <w:p>
            <w:r>
              <w:rPr>
                <w:sz w:val="18"/>
              </w:rPr>
              <w:t>Tenant isolation policies</w:t>
            </w:r>
          </w:p>
        </w:tc>
        <w:tc>
          <w:tcPr>
            <w:tcW w:type="dxa" w:w="4968"/>
            <w:vAlign w:val="center"/>
          </w:tcPr>
          <w:p>
            <w:r>
              <w:rPr>
                <w:sz w:val="18"/>
              </w:rPr>
              <w:t>Verified on both affected tables</w:t>
            </w:r>
          </w:p>
        </w:tc>
      </w:tr>
    </w:tbl>
    <w:p/>
    <w:p>
      <w:r>
        <w:t>The foreign-key query returned exactly three required relationships. The index query returned exactly two required tenant indexes.</w:t>
      </w:r>
    </w:p>
    <w:p>
      <w:pPr>
        <w:pStyle w:val="Heading1"/>
      </w:pPr>
      <w:r>
        <w:t>10. Prisma Migration Bookkeeping</w:t>
      </w:r>
    </w:p>
    <w:p>
      <w:r>
        <w:t>After the SQL was physically applied and independently verified, npx prisma migrate resolve --applied 20260914000000_rls_defect_remediation was executed. This was bookkeeping only; it did not re-run the migration SQL.</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Migration</w:t>
            </w:r>
          </w:p>
        </w:tc>
        <w:tc>
          <w:tcPr>
            <w:tcW w:type="dxa" w:w="4968"/>
            <w:shd w:fill="D9EAF7"/>
          </w:tcPr>
          <w:p>
            <w:r>
              <w:rPr>
                <w:b/>
              </w:rPr>
              <w:t>Final production state</w:t>
            </w:r>
          </w:p>
        </w:tc>
      </w:tr>
      <w:tr>
        <w:tc>
          <w:tcPr>
            <w:tcW w:type="dxa" w:w="4968"/>
            <w:vAlign w:val="center"/>
          </w:tcPr>
          <w:p>
            <w:r>
              <w:rPr>
                <w:sz w:val="18"/>
              </w:rPr>
              <w:t>20260910000000_canonical_baseline</w:t>
            </w:r>
          </w:p>
        </w:tc>
        <w:tc>
          <w:tcPr>
            <w:tcW w:type="dxa" w:w="4968"/>
            <w:vAlign w:val="center"/>
          </w:tcPr>
          <w:p>
            <w:r>
              <w:rPr>
                <w:sz w:val="18"/>
              </w:rPr>
              <w:t>Completed; finished_at populated; rolled_back_at NULL</w:t>
            </w:r>
          </w:p>
        </w:tc>
      </w:tr>
      <w:tr>
        <w:tc>
          <w:tcPr>
            <w:tcW w:type="dxa" w:w="4968"/>
            <w:vAlign w:val="center"/>
          </w:tcPr>
          <w:p>
            <w:r>
              <w:rPr>
                <w:sz w:val="18"/>
              </w:rPr>
              <w:t>20260914000000_rls_defect_remediation</w:t>
            </w:r>
          </w:p>
        </w:tc>
        <w:tc>
          <w:tcPr>
            <w:tcW w:type="dxa" w:w="4968"/>
            <w:vAlign w:val="center"/>
          </w:tcPr>
          <w:p>
            <w:r>
              <w:rPr>
                <w:sz w:val="18"/>
              </w:rPr>
              <w:t>Completed; finished_at populated; rolled_back_at NULL</w:t>
            </w:r>
          </w:p>
        </w:tc>
      </w:tr>
      <w:tr>
        <w:tc>
          <w:tcPr>
            <w:tcW w:type="dxa" w:w="4968"/>
            <w:vAlign w:val="center"/>
          </w:tcPr>
          <w:p>
            <w:r>
              <w:rPr>
                <w:sz w:val="18"/>
              </w:rPr>
              <w:t>20260913000000_add_call_session</w:t>
            </w:r>
          </w:p>
        </w:tc>
        <w:tc>
          <w:tcPr>
            <w:tcW w:type="dxa" w:w="4968"/>
            <w:vAlign w:val="center"/>
          </w:tcPr>
          <w:p>
            <w:r>
              <w:rPr>
                <w:sz w:val="18"/>
              </w:rPr>
              <w:t>Absent; intentionally excluded from production</w:t>
            </w:r>
          </w:p>
        </w:tc>
      </w:tr>
    </w:tbl>
    <w:p/>
    <w:p>
      <w:r>
        <w:t>Prisma status still reports historical divergence because the current local migration directory does not contain all old production migration records and because migration 130 intentionally remains local/E2E-only. This does not mean migration 140 failed.</w:t>
      </w:r>
    </w:p>
    <w:p>
      <w:pPr>
        <w:pStyle w:val="Heading1"/>
      </w:pPr>
      <w:r>
        <w:t>11. Migration Deployment Safety Audit</w:t>
      </w:r>
    </w:p>
    <w:p>
      <w:r>
        <w:t>A read-only audit of package scripts, GitHub CI, Vercel configuration and migrate deploy references found that current automated Vercel/CI build paths do not automatically mutate production databases.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Path</w:t>
            </w:r>
          </w:p>
        </w:tc>
        <w:tc>
          <w:tcPr>
            <w:tcW w:type="dxa" w:w="3312"/>
            <w:shd w:fill="D9EAF7"/>
          </w:tcPr>
          <w:p>
            <w:r>
              <w:rPr>
                <w:b/>
              </w:rPr>
              <w:t>Current behavior</w:t>
            </w:r>
          </w:p>
        </w:tc>
        <w:tc>
          <w:tcPr>
            <w:tcW w:type="dxa" w:w="3312"/>
            <w:shd w:fill="D9EAF7"/>
          </w:tcPr>
          <w:p>
            <w:r>
              <w:rPr>
                <w:b/>
              </w:rPr>
              <w:t>Risk</w:t>
            </w:r>
          </w:p>
        </w:tc>
      </w:tr>
      <w:tr>
        <w:tc>
          <w:tcPr>
            <w:tcW w:type="dxa" w:w="3312"/>
            <w:vAlign w:val="center"/>
          </w:tcPr>
          <w:p>
            <w:r>
              <w:rPr>
                <w:sz w:val="18"/>
              </w:rPr>
              <w:t>GitHub CI</w:t>
            </w:r>
          </w:p>
        </w:tc>
        <w:tc>
          <w:tcPr>
            <w:tcW w:type="dxa" w:w="3312"/>
            <w:vAlign w:val="center"/>
          </w:tcPr>
          <w:p>
            <w:r>
              <w:rPr>
                <w:sz w:val="18"/>
              </w:rPr>
              <w:t>Ephemeral DB validation; no production mutation</w:t>
            </w:r>
          </w:p>
        </w:tc>
        <w:tc>
          <w:tcPr>
            <w:tcW w:type="dxa" w:w="3312"/>
            <w:vAlign w:val="center"/>
          </w:tcPr>
          <w:p>
            <w:r>
              <w:rPr>
                <w:sz w:val="18"/>
              </w:rPr>
              <w:t>Low for production</w:t>
            </w:r>
          </w:p>
        </w:tc>
      </w:tr>
      <w:tr>
        <w:tc>
          <w:tcPr>
            <w:tcW w:type="dxa" w:w="3312"/>
            <w:vAlign w:val="center"/>
          </w:tcPr>
          <w:p>
            <w:r>
              <w:rPr>
                <w:sz w:val="18"/>
              </w:rPr>
              <w:t>Vercel build</w:t>
            </w:r>
          </w:p>
        </w:tc>
        <w:tc>
          <w:tcPr>
            <w:tcW w:type="dxa" w:w="3312"/>
            <w:vAlign w:val="center"/>
          </w:tcPr>
          <w:p>
            <w:r>
              <w:rPr>
                <w:sz w:val="18"/>
              </w:rPr>
              <w:t>Application build/generate; no automatic production migration</w:t>
            </w:r>
          </w:p>
        </w:tc>
        <w:tc>
          <w:tcPr>
            <w:tcW w:type="dxa" w:w="3312"/>
            <w:vAlign w:val="center"/>
          </w:tcPr>
          <w:p>
            <w:r>
              <w:rPr>
                <w:sz w:val="18"/>
              </w:rPr>
              <w:t>Low for automatic migration</w:t>
            </w:r>
          </w:p>
        </w:tc>
      </w:tr>
      <w:tr>
        <w:tc>
          <w:tcPr>
            <w:tcW w:type="dxa" w:w="3312"/>
            <w:vAlign w:val="center"/>
          </w:tcPr>
          <w:p>
            <w:r>
              <w:rPr>
                <w:sz w:val="18"/>
              </w:rPr>
              <w:t>Manual migrate:deploy</w:t>
            </w:r>
          </w:p>
        </w:tc>
        <w:tc>
          <w:tcPr>
            <w:tcW w:type="dxa" w:w="3312"/>
            <w:vAlign w:val="center"/>
          </w:tcPr>
          <w:p>
            <w:r>
              <w:rPr>
                <w:sz w:val="18"/>
              </w:rPr>
              <w:t>Can process all pending migrations</w:t>
            </w:r>
          </w:p>
        </w:tc>
        <w:tc>
          <w:tcPr>
            <w:tcW w:type="dxa" w:w="3312"/>
            <w:vAlign w:val="center"/>
          </w:tcPr>
          <w:p>
            <w:r>
              <w:rPr>
                <w:sz w:val="18"/>
              </w:rPr>
              <w:t>High if operator forgets 130</w:t>
            </w:r>
          </w:p>
        </w:tc>
      </w:tr>
      <w:tr>
        <w:tc>
          <w:tcPr>
            <w:tcW w:type="dxa" w:w="3312"/>
            <w:vAlign w:val="center"/>
          </w:tcPr>
          <w:p>
            <w:r>
              <w:rPr>
                <w:sz w:val="18"/>
              </w:rPr>
              <w:t>Current demo</w:t>
            </w:r>
          </w:p>
        </w:tc>
        <w:tc>
          <w:tcPr>
            <w:tcW w:type="dxa" w:w="3312"/>
            <w:vAlign w:val="center"/>
          </w:tcPr>
          <w:p>
            <w:r>
              <w:rPr>
                <w:sz w:val="18"/>
              </w:rPr>
              <w:t>140 applied manually and reconciled</w:t>
            </w:r>
          </w:p>
        </w:tc>
        <w:tc>
          <w:tcPr>
            <w:tcW w:type="dxa" w:w="3312"/>
            <w:vAlign w:val="center"/>
          </w:tcPr>
          <w:p>
            <w:r>
              <w:rPr>
                <w:sz w:val="18"/>
              </w:rPr>
              <w:t>Controlled</w:t>
            </w:r>
          </w:p>
        </w:tc>
      </w:tr>
    </w:tbl>
    <w:p/>
    <w:p>
      <w:r>
        <w:t>The immediate rollout is therefore safe, but the repository has a real long-term migration-policy weakness. Migration 130 must eventually be separated or otherwise made mechanically impossible to deploy to production. Comments alone are not a sufficient safety control.</w:t>
      </w:r>
    </w:p>
    <w:p>
      <w:pPr>
        <w:pStyle w:val="Heading1"/>
      </w:pPr>
      <w:r>
        <w:t>12. Historical Work That Remains Valid</w:t>
      </w:r>
    </w:p>
    <w:p>
      <w:pPr>
        <w:pStyle w:val="ListBullet"/>
      </w:pPr>
      <w:r>
        <w:t>Phase 6 Revenue/Quotes/Approvals: strict Deal→Customer validation, self-approval prevention, atomic EventOutbox behavior, secure quote download and security scenarios.</w:t>
      </w:r>
    </w:p>
    <w:p>
      <w:pPr>
        <w:pStyle w:val="ListBullet"/>
      </w:pPr>
      <w:r>
        <w:t>Phase 7 Reporting/commercial operations: commercial quote metrics/CSV and no fake MRR/ARR.</w:t>
      </w:r>
    </w:p>
    <w:p>
      <w:pPr>
        <w:pStyle w:val="ListBullet"/>
      </w:pPr>
      <w:r>
        <w:t>Phase 8 Notifications/workflow: EventOutbox → Inngest, Notification Center, idempotency and tenant membership.</w:t>
      </w:r>
    </w:p>
    <w:p>
      <w:pPr>
        <w:pStyle w:val="ListBullet"/>
      </w:pPr>
      <w:r>
        <w:t>Phase 9 security hardening: fail-closed behavior, bounded limits, exact Pusher channel matching, structured logging, export rate limiting, notification evidence, AI prompt-injection boundaries and Next.js 16.3.5.</w:t>
      </w:r>
    </w:p>
    <w:p>
      <w:pPr>
        <w:pStyle w:val="ListBullet"/>
      </w:pPr>
      <w:r>
        <w:t>Phase 10 observability/DR: Pino logging, live/ready/health endpoints and restore safeguards; measured RPO/RTO still requires operational evidence.</w:t>
      </w:r>
    </w:p>
    <w:p>
      <w:pPr>
        <w:pStyle w:val="ListBullet"/>
      </w:pPr>
      <w:r>
        <w:t>Phase 11 scale/concurrency: measured profiles, provider-call transaction fixes and indexes; Profile I reached about 375.94 ops/sec at concurrency 50 with zero P2028 in the recorded test, while the noisy-neighbor export→CRM degradation result was about 42.11%.</w:t>
      </w:r>
    </w:p>
    <w:p>
      <w:pPr>
        <w:pStyle w:val="ListBullet"/>
      </w:pPr>
      <w:r>
        <w:t>Phase 12 provisioning: idempotent bootstrap-company behavior and conflict handling; full real two-database A/B isolation remained infrastructure-blocked.</w:t>
      </w:r>
    </w:p>
    <w:p>
      <w:pPr>
        <w:pStyle w:val="ListBullet"/>
      </w:pPr>
      <w:r>
        <w:t>Phase 13 certification: CONDITIONALLY CERTIFIED, not fully Production Certified. The broad suite recorded 1030 passed and 13 failed; the failures were classified as legacy harness crashes/obsolete expectation rather than product defects.</w:t>
      </w:r>
    </w:p>
    <w:p>
      <w:pPr>
        <w:pStyle w:val="Heading1"/>
      </w:pPr>
      <w:r>
        <w:t>13. Security Architecture Corrections That Must Not Regress</w:t>
      </w:r>
    </w:p>
    <w:p>
      <w:pPr>
        <w:pStyle w:val="ListBullet"/>
      </w:pPr>
      <w:r>
        <w:t>Tenant isolation uses application authorization plus PostgreSQL RLS; Prisma filters alone are not the sole boundary.</w:t>
      </w:r>
    </w:p>
    <w:p>
      <w:pPr>
        <w:pStyle w:val="ListBullet"/>
      </w:pPr>
      <w:r>
        <w:t>Persistent CCTV processing is external to serverless routes.</w:t>
      </w:r>
    </w:p>
    <w:p>
      <w:pPr>
        <w:pStyle w:val="ListBullet"/>
      </w:pPr>
      <w:r>
        <w:t>Workers use leases, fencing, stale-write rejection and node affinity.</w:t>
      </w:r>
    </w:p>
    <w:p>
      <w:pPr>
        <w:pStyle w:val="ListBullet"/>
      </w:pPr>
      <w:r>
        <w:t>CCTV recordings follow upload → verify durable storage/integrity → confirm durable DB state → delete local source only after success.</w:t>
      </w:r>
    </w:p>
    <w:p>
      <w:pPr>
        <w:pStyle w:val="ListBullet"/>
      </w:pPr>
      <w:r>
        <w:t>Webhook security includes authenticity/replay/idempotency controls.</w:t>
      </w:r>
    </w:p>
    <w:p>
      <w:pPr>
        <w:pStyle w:val="ListBullet"/>
      </w:pPr>
      <w:r>
        <w:t>AI uses controlled application-side tools and authorization, never unrestricted database access.</w:t>
      </w:r>
    </w:p>
    <w:p>
      <w:pPr>
        <w:pStyle w:val="ListBullet"/>
      </w:pPr>
      <w:r>
        <w:t>Optional providers degrade explicitly instead of crashing startup or fabricating success.</w:t>
      </w:r>
    </w:p>
    <w:p>
      <w:pPr>
        <w:pStyle w:val="ListBullet"/>
      </w:pPr>
      <w:r>
        <w:t>Production certification is deployment-specific and evidence-based.</w:t>
      </w:r>
    </w:p>
    <w:p>
      <w:pPr>
        <w:pStyle w:val="Heading1"/>
      </w:pPr>
      <w:r>
        <w:t>14. Credential and Secret Handling</w:t>
      </w:r>
    </w:p>
    <w:p>
      <w:r>
        <w:t>Credential handling was deliberately conservative throughout this rollout. The automated terminal could not access production secrets, so commands stopped rather than asking for secrets in chat or embedding them into uncontrolled files.</w:t>
      </w:r>
    </w:p>
    <w:p>
      <w:pPr>
        <w:pStyle w:val="ListBullet"/>
      </w:pPr>
      <w:r>
        <w:t>Secret values are intentionally absent from this document.</w:t>
      </w:r>
    </w:p>
    <w:p>
      <w:pPr>
        <w:pStyle w:val="ListBullet"/>
      </w:pPr>
      <w:r>
        <w:t>Production credentials are used only through intended secret stores or trusted provider dashboards.</w:t>
      </w:r>
    </w:p>
    <w:p>
      <w:pPr>
        <w:pStyle w:val="ListBullet"/>
      </w:pPr>
      <w:r>
        <w:t>No production credential should be pasted into chat, source control, issue trackers or documents.</w:t>
      </w:r>
    </w:p>
    <w:p>
      <w:pPr>
        <w:pStyle w:val="ListBullet"/>
      </w:pPr>
      <w:r>
        <w:t>Any credential historically exposed in an uncontrolled transcript is treated as compromised and should be rotated through the provider/deployment workflow.</w:t>
      </w:r>
    </w:p>
    <w:p>
      <w:pPr>
        <w:pStyle w:val="ListBullet"/>
      </w:pPr>
      <w:r>
        <w:t>Client credentials belong only to the client's isolated deployment.</w:t>
      </w:r>
    </w:p>
    <w:p>
      <w:pPr>
        <w:pStyle w:val="ListBullet"/>
      </w:pPr>
      <w:r>
        <w:t>Missing optional providers are represented as explicit capability/degradation states.</w:t>
      </w:r>
    </w:p>
    <w:p>
      <w:pPr>
        <w:pStyle w:val="ListBullet"/>
      </w:pPr>
      <w:r>
        <w:t>Credentials do not imply provider compatibility; unsupported providers require an adapter or compatible contract.</w:t>
      </w:r>
    </w:p>
    <w:p>
      <w:pPr>
        <w:pStyle w:val="Heading1"/>
      </w:pPr>
      <w:r>
        <w:t>15. Current Product Maturity</w:t>
      </w:r>
    </w:p>
    <w:p>
      <w:r>
        <w:t>The latest source-derived planning view is approximately 65–70% of the final product, with about 67% as a directional single-number estimate. Engineering/platform foundation is around 80–85%. Fully production-certified maturity is around 35–45%. These are planning estimates, not KPIs.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Capability</w:t>
            </w:r>
          </w:p>
        </w:tc>
        <w:tc>
          <w:tcPr>
            <w:tcW w:type="dxa" w:w="3312"/>
            <w:shd w:fill="D9EAF7"/>
          </w:tcPr>
          <w:p>
            <w:r>
              <w:rPr>
                <w:b/>
              </w:rPr>
              <w:t>Planning view</w:t>
            </w:r>
          </w:p>
        </w:tc>
        <w:tc>
          <w:tcPr>
            <w:tcW w:type="dxa" w:w="3312"/>
            <w:shd w:fill="D9EAF7"/>
          </w:tcPr>
          <w:p>
            <w:r>
              <w:rPr>
                <w:b/>
              </w:rPr>
              <w:t>Main remaining work</w:t>
            </w:r>
          </w:p>
        </w:tc>
      </w:tr>
      <w:tr>
        <w:tc>
          <w:tcPr>
            <w:tcW w:type="dxa" w:w="3312"/>
            <w:vAlign w:val="center"/>
          </w:tcPr>
          <w:p>
            <w:r>
              <w:rPr>
                <w:sz w:val="18"/>
              </w:rPr>
              <w:t>Core architecture/security</w:t>
            </w:r>
          </w:p>
        </w:tc>
        <w:tc>
          <w:tcPr>
            <w:tcW w:type="dxa" w:w="3312"/>
            <w:vAlign w:val="center"/>
          </w:tcPr>
          <w:p>
            <w:r>
              <w:rPr>
                <w:sz w:val="18"/>
              </w:rPr>
              <w:t>80–85%</w:t>
            </w:r>
          </w:p>
        </w:tc>
        <w:tc>
          <w:tcPr>
            <w:tcW w:type="dxa" w:w="3312"/>
            <w:vAlign w:val="center"/>
          </w:tcPr>
          <w:p>
            <w:r>
              <w:rPr>
                <w:sz w:val="18"/>
              </w:rPr>
              <w:t>Final deployment-specific certification and residual hardening</w:t>
            </w:r>
          </w:p>
        </w:tc>
      </w:tr>
      <w:tr>
        <w:tc>
          <w:tcPr>
            <w:tcW w:type="dxa" w:w="3312"/>
            <w:vAlign w:val="center"/>
          </w:tcPr>
          <w:p>
            <w:r>
              <w:rPr>
                <w:sz w:val="18"/>
              </w:rPr>
              <w:t>Core CRM</w:t>
            </w:r>
          </w:p>
        </w:tc>
        <w:tc>
          <w:tcPr>
            <w:tcW w:type="dxa" w:w="3312"/>
            <w:vAlign w:val="center"/>
          </w:tcPr>
          <w:p>
            <w:r>
              <w:rPr>
                <w:sz w:val="18"/>
              </w:rPr>
              <w:t>85–95%</w:t>
            </w:r>
          </w:p>
        </w:tc>
        <w:tc>
          <w:tcPr>
            <w:tcW w:type="dxa" w:w="3312"/>
            <w:vAlign w:val="center"/>
          </w:tcPr>
          <w:p>
            <w:r>
              <w:rPr>
                <w:sz w:val="18"/>
              </w:rPr>
              <w:t>Remaining operational UX/integration evidence</w:t>
            </w:r>
          </w:p>
        </w:tc>
      </w:tr>
      <w:tr>
        <w:tc>
          <w:tcPr>
            <w:tcW w:type="dxa" w:w="3312"/>
            <w:vAlign w:val="center"/>
          </w:tcPr>
          <w:p>
            <w:r>
              <w:rPr>
                <w:sz w:val="18"/>
              </w:rPr>
              <w:t>Revenue</w:t>
            </w:r>
          </w:p>
        </w:tc>
        <w:tc>
          <w:tcPr>
            <w:tcW w:type="dxa" w:w="3312"/>
            <w:vAlign w:val="center"/>
          </w:tcPr>
          <w:p>
            <w:r>
              <w:rPr>
                <w:sz w:val="18"/>
              </w:rPr>
              <w:t>80–90%</w:t>
            </w:r>
          </w:p>
        </w:tc>
        <w:tc>
          <w:tcPr>
            <w:tcW w:type="dxa" w:w="3312"/>
            <w:vAlign w:val="center"/>
          </w:tcPr>
          <w:p>
            <w:r>
              <w:rPr>
                <w:sz w:val="18"/>
              </w:rPr>
              <w:t>Full lifecycle/approval/reporting evidence</w:t>
            </w:r>
          </w:p>
        </w:tc>
      </w:tr>
      <w:tr>
        <w:tc>
          <w:tcPr>
            <w:tcW w:type="dxa" w:w="3312"/>
            <w:vAlign w:val="center"/>
          </w:tcPr>
          <w:p>
            <w:r>
              <w:rPr>
                <w:sz w:val="18"/>
              </w:rPr>
              <w:t>Communication</w:t>
            </w:r>
          </w:p>
        </w:tc>
        <w:tc>
          <w:tcPr>
            <w:tcW w:type="dxa" w:w="3312"/>
            <w:vAlign w:val="center"/>
          </w:tcPr>
          <w:p>
            <w:r>
              <w:rPr>
                <w:sz w:val="18"/>
              </w:rPr>
              <w:t>70–80%</w:t>
            </w:r>
          </w:p>
        </w:tc>
        <w:tc>
          <w:tcPr>
            <w:tcW w:type="dxa" w:w="3312"/>
            <w:vAlign w:val="center"/>
          </w:tcPr>
          <w:p>
            <w:r>
              <w:rPr>
                <w:sz w:val="18"/>
              </w:rPr>
              <w:t>Real provider E2E and final UX/evidence</w:t>
            </w:r>
          </w:p>
        </w:tc>
      </w:tr>
      <w:tr>
        <w:tc>
          <w:tcPr>
            <w:tcW w:type="dxa" w:w="3312"/>
            <w:vAlign w:val="center"/>
          </w:tcPr>
          <w:p>
            <w:r>
              <w:rPr>
                <w:sz w:val="18"/>
              </w:rPr>
              <w:t>Realtime/calling</w:t>
            </w:r>
          </w:p>
        </w:tc>
        <w:tc>
          <w:tcPr>
            <w:tcW w:type="dxa" w:w="3312"/>
            <w:vAlign w:val="center"/>
          </w:tcPr>
          <w:p>
            <w:r>
              <w:rPr>
                <w:sz w:val="18"/>
              </w:rPr>
              <w:t>70–80%</w:t>
            </w:r>
          </w:p>
        </w:tc>
        <w:tc>
          <w:tcPr>
            <w:tcW w:type="dxa" w:w="3312"/>
            <w:vAlign w:val="center"/>
          </w:tcPr>
          <w:p>
            <w:r>
              <w:rPr>
                <w:sz w:val="18"/>
              </w:rPr>
              <w:t>Real Pusher/browser E2E</w:t>
            </w:r>
          </w:p>
        </w:tc>
      </w:tr>
      <w:tr>
        <w:tc>
          <w:tcPr>
            <w:tcW w:type="dxa" w:w="3312"/>
            <w:vAlign w:val="center"/>
          </w:tcPr>
          <w:p>
            <w:r>
              <w:rPr>
                <w:sz w:val="18"/>
              </w:rPr>
              <w:t>CCTV core</w:t>
            </w:r>
          </w:p>
        </w:tc>
        <w:tc>
          <w:tcPr>
            <w:tcW w:type="dxa" w:w="3312"/>
            <w:vAlign w:val="center"/>
          </w:tcPr>
          <w:p>
            <w:r>
              <w:rPr>
                <w:sz w:val="18"/>
              </w:rPr>
              <w:t>85–90% foundation</w:t>
            </w:r>
          </w:p>
        </w:tc>
        <w:tc>
          <w:tcPr>
            <w:tcW w:type="dxa" w:w="3312"/>
            <w:vAlign w:val="center"/>
          </w:tcPr>
          <w:p>
            <w:r>
              <w:rPr>
                <w:sz w:val="18"/>
              </w:rPr>
              <w:t>Real MediaMTX/RTSP/storage/worker E2E</w:t>
            </w:r>
          </w:p>
        </w:tc>
      </w:tr>
      <w:tr>
        <w:tc>
          <w:tcPr>
            <w:tcW w:type="dxa" w:w="3312"/>
            <w:vAlign w:val="center"/>
          </w:tcPr>
          <w:p>
            <w:r>
              <w:rPr>
                <w:sz w:val="18"/>
              </w:rPr>
              <w:t>AI</w:t>
            </w:r>
          </w:p>
        </w:tc>
        <w:tc>
          <w:tcPr>
            <w:tcW w:type="dxa" w:w="3312"/>
            <w:vAlign w:val="center"/>
          </w:tcPr>
          <w:p>
            <w:r>
              <w:rPr>
                <w:sz w:val="18"/>
              </w:rPr>
              <w:t>50–60% structural</w:t>
            </w:r>
          </w:p>
        </w:tc>
        <w:tc>
          <w:tcPr>
            <w:tcW w:type="dxa" w:w="3312"/>
            <w:vAlign w:val="center"/>
          </w:tcPr>
          <w:p>
            <w:r>
              <w:rPr>
                <w:sz w:val="18"/>
              </w:rPr>
              <w:t>Real provider/product completion and CCTV AI</w:t>
            </w:r>
          </w:p>
        </w:tc>
      </w:tr>
      <w:tr>
        <w:tc>
          <w:tcPr>
            <w:tcW w:type="dxa" w:w="3312"/>
            <w:vAlign w:val="center"/>
          </w:tcPr>
          <w:p>
            <w:r>
              <w:rPr>
                <w:sz w:val="18"/>
              </w:rPr>
              <w:t>Workforce</w:t>
            </w:r>
          </w:p>
        </w:tc>
        <w:tc>
          <w:tcPr>
            <w:tcW w:type="dxa" w:w="3312"/>
            <w:vAlign w:val="center"/>
          </w:tcPr>
          <w:p>
            <w:r>
              <w:rPr>
                <w:sz w:val="18"/>
              </w:rPr>
              <w:t>85–90% foundation</w:t>
            </w:r>
          </w:p>
        </w:tc>
        <w:tc>
          <w:tcPr>
            <w:tcW w:type="dxa" w:w="3312"/>
            <w:vAlign w:val="center"/>
          </w:tcPr>
          <w:p>
            <w:r>
              <w:rPr>
                <w:sz w:val="18"/>
              </w:rPr>
              <w:t>Complete onboarding/operational integration</w:t>
            </w:r>
          </w:p>
        </w:tc>
      </w:tr>
      <w:tr>
        <w:tc>
          <w:tcPr>
            <w:tcW w:type="dxa" w:w="3312"/>
            <w:vAlign w:val="center"/>
          </w:tcPr>
          <w:p>
            <w:r>
              <w:rPr>
                <w:sz w:val="18"/>
              </w:rPr>
              <w:t>Reporting</w:t>
            </w:r>
          </w:p>
        </w:tc>
        <w:tc>
          <w:tcPr>
            <w:tcW w:type="dxa" w:w="3312"/>
            <w:vAlign w:val="center"/>
          </w:tcPr>
          <w:p>
            <w:r>
              <w:rPr>
                <w:sz w:val="18"/>
              </w:rPr>
              <w:t>70–80%</w:t>
            </w:r>
          </w:p>
        </w:tc>
        <w:tc>
          <w:tcPr>
            <w:tcW w:type="dxa" w:w="3312"/>
            <w:vAlign w:val="center"/>
          </w:tcPr>
          <w:p>
            <w:r>
              <w:rPr>
                <w:sz w:val="18"/>
              </w:rPr>
              <w:t>Large-data evidence and final dashboards</w:t>
            </w:r>
          </w:p>
        </w:tc>
      </w:tr>
      <w:tr>
        <w:tc>
          <w:tcPr>
            <w:tcW w:type="dxa" w:w="3312"/>
            <w:vAlign w:val="center"/>
          </w:tcPr>
          <w:p>
            <w:r>
              <w:rPr>
                <w:sz w:val="18"/>
              </w:rPr>
              <w:t>Workers</w:t>
            </w:r>
          </w:p>
        </w:tc>
        <w:tc>
          <w:tcPr>
            <w:tcW w:type="dxa" w:w="3312"/>
            <w:vAlign w:val="center"/>
          </w:tcPr>
          <w:p>
            <w:r>
              <w:rPr>
                <w:sz w:val="18"/>
              </w:rPr>
              <w:t>70–80%</w:t>
            </w:r>
          </w:p>
        </w:tc>
        <w:tc>
          <w:tcPr>
            <w:tcW w:type="dxa" w:w="3312"/>
            <w:vAlign w:val="center"/>
          </w:tcPr>
          <w:p>
            <w:r>
              <w:rPr>
                <w:sz w:val="18"/>
              </w:rPr>
              <w:t>Chaos/recovery certification</w:t>
            </w:r>
          </w:p>
        </w:tc>
      </w:tr>
      <w:tr>
        <w:tc>
          <w:tcPr>
            <w:tcW w:type="dxa" w:w="3312"/>
            <w:vAlign w:val="center"/>
          </w:tcPr>
          <w:p>
            <w:r>
              <w:rPr>
                <w:sz w:val="18"/>
              </w:rPr>
              <w:t>DR</w:t>
            </w:r>
          </w:p>
        </w:tc>
        <w:tc>
          <w:tcPr>
            <w:tcW w:type="dxa" w:w="3312"/>
            <w:vAlign w:val="center"/>
          </w:tcPr>
          <w:p>
            <w:r>
              <w:rPr>
                <w:sz w:val="18"/>
              </w:rPr>
              <w:t>70–80%</w:t>
            </w:r>
          </w:p>
        </w:tc>
        <w:tc>
          <w:tcPr>
            <w:tcW w:type="dxa" w:w="3312"/>
            <w:vAlign w:val="center"/>
          </w:tcPr>
          <w:p>
            <w:r>
              <w:rPr>
                <w:sz w:val="18"/>
              </w:rPr>
              <w:t>Measured restore/RPO/RTO</w:t>
            </w:r>
          </w:p>
        </w:tc>
      </w:tr>
      <w:tr>
        <w:tc>
          <w:tcPr>
            <w:tcW w:type="dxa" w:w="3312"/>
            <w:vAlign w:val="center"/>
          </w:tcPr>
          <w:p>
            <w:r>
              <w:rPr>
                <w:sz w:val="18"/>
              </w:rPr>
              <w:t>Scale</w:t>
            </w:r>
          </w:p>
        </w:tc>
        <w:tc>
          <w:tcPr>
            <w:tcW w:type="dxa" w:w="3312"/>
            <w:vAlign w:val="center"/>
          </w:tcPr>
          <w:p>
            <w:r>
              <w:rPr>
                <w:sz w:val="18"/>
              </w:rPr>
              <w:t>50–60%</w:t>
            </w:r>
          </w:p>
        </w:tc>
        <w:tc>
          <w:tcPr>
            <w:tcW w:type="dxa" w:w="3312"/>
            <w:vAlign w:val="center"/>
          </w:tcPr>
          <w:p>
            <w:r>
              <w:rPr>
                <w:sz w:val="18"/>
              </w:rPr>
              <w:t>Final-topology load certification</w:t>
            </w:r>
          </w:p>
        </w:tc>
      </w:tr>
      <w:tr>
        <w:tc>
          <w:tcPr>
            <w:tcW w:type="dxa" w:w="3312"/>
            <w:vAlign w:val="center"/>
          </w:tcPr>
          <w:p>
            <w:r>
              <w:rPr>
                <w:sz w:val="18"/>
              </w:rPr>
              <w:t>Provisioning</w:t>
            </w:r>
          </w:p>
        </w:tc>
        <w:tc>
          <w:tcPr>
            <w:tcW w:type="dxa" w:w="3312"/>
            <w:vAlign w:val="center"/>
          </w:tcPr>
          <w:p>
            <w:r>
              <w:rPr>
                <w:sz w:val="18"/>
              </w:rPr>
              <w:t>60–70%</w:t>
            </w:r>
          </w:p>
        </w:tc>
        <w:tc>
          <w:tcPr>
            <w:tcW w:type="dxa" w:w="3312"/>
            <w:vAlign w:val="center"/>
          </w:tcPr>
          <w:p>
            <w:r>
              <w:rPr>
                <w:sz w:val="18"/>
              </w:rPr>
              <w:t>Real repeatable customer deployment</w:t>
            </w:r>
          </w:p>
        </w:tc>
      </w:tr>
      <w:tr>
        <w:tc>
          <w:tcPr>
            <w:tcW w:type="dxa" w:w="3312"/>
            <w:vAlign w:val="center"/>
          </w:tcPr>
          <w:p>
            <w:r>
              <w:rPr>
                <w:sz w:val="18"/>
              </w:rPr>
              <w:t>Final certification</w:t>
            </w:r>
          </w:p>
        </w:tc>
        <w:tc>
          <w:tcPr>
            <w:tcW w:type="dxa" w:w="3312"/>
            <w:vAlign w:val="center"/>
          </w:tcPr>
          <w:p>
            <w:r>
              <w:rPr>
                <w:sz w:val="18"/>
              </w:rPr>
              <w:t>35–45%</w:t>
            </w:r>
          </w:p>
        </w:tc>
        <w:tc>
          <w:tcPr>
            <w:tcW w:type="dxa" w:w="3312"/>
            <w:vAlign w:val="center"/>
          </w:tcPr>
          <w:p>
            <w:r>
              <w:rPr>
                <w:sz w:val="18"/>
              </w:rPr>
              <w:t>Complete evidence chain</w:t>
            </w:r>
          </w:p>
        </w:tc>
      </w:tr>
    </w:tbl>
    <w:p/>
    <w:p>
      <w:pPr>
        <w:pStyle w:val="Heading1"/>
      </w:pPr>
      <w:r>
        <w:t>16. What Is Proven vs Not Yet Proven</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Item</w:t>
            </w:r>
          </w:p>
        </w:tc>
        <w:tc>
          <w:tcPr>
            <w:tcW w:type="dxa" w:w="4968"/>
            <w:shd w:fill="D9EAF7"/>
          </w:tcPr>
          <w:p>
            <w:r>
              <w:rPr>
                <w:b/>
              </w:rPr>
              <w:t>Status</w:t>
            </w:r>
          </w:p>
        </w:tc>
      </w:tr>
      <w:tr>
        <w:tc>
          <w:tcPr>
            <w:tcW w:type="dxa" w:w="4968"/>
            <w:vAlign w:val="center"/>
          </w:tcPr>
          <w:p>
            <w:r>
              <w:rPr>
                <w:sz w:val="18"/>
              </w:rPr>
              <w:t>Hosted deployment readiness</w:t>
            </w:r>
          </w:p>
        </w:tc>
        <w:tc>
          <w:tcPr>
            <w:tcW w:type="dxa" w:w="4968"/>
            <w:vAlign w:val="center"/>
          </w:tcPr>
          <w:p>
            <w:r>
              <w:rPr>
                <w:sz w:val="18"/>
              </w:rPr>
              <w:t>Verified for controlled demo</w:t>
            </w:r>
          </w:p>
        </w:tc>
      </w:tr>
      <w:tr>
        <w:tc>
          <w:tcPr>
            <w:tcW w:type="dxa" w:w="4968"/>
            <w:vAlign w:val="center"/>
          </w:tcPr>
          <w:p>
            <w:r>
              <w:rPr>
                <w:sz w:val="18"/>
              </w:rPr>
              <w:t>/api/live /api/ready /api/health</w:t>
            </w:r>
          </w:p>
        </w:tc>
        <w:tc>
          <w:tcPr>
            <w:tcW w:type="dxa" w:w="4968"/>
            <w:vAlign w:val="center"/>
          </w:tcPr>
          <w:p>
            <w:r>
              <w:rPr>
                <w:sz w:val="18"/>
              </w:rPr>
              <w:t>200 verified</w:t>
            </w:r>
          </w:p>
        </w:tc>
      </w:tr>
      <w:tr>
        <w:tc>
          <w:tcPr>
            <w:tcW w:type="dxa" w:w="4968"/>
            <w:vAlign w:val="center"/>
          </w:tcPr>
          <w:p>
            <w:r>
              <w:rPr>
                <w:sz w:val="18"/>
              </w:rPr>
              <w:t>Protected /api/deals</w:t>
            </w:r>
          </w:p>
        </w:tc>
        <w:tc>
          <w:tcPr>
            <w:tcW w:type="dxa" w:w="4968"/>
            <w:vAlign w:val="center"/>
          </w:tcPr>
          <w:p>
            <w:r>
              <w:rPr>
                <w:sz w:val="18"/>
              </w:rPr>
              <w:t>Protection verified</w:t>
            </w:r>
          </w:p>
        </w:tc>
      </w:tr>
      <w:tr>
        <w:tc>
          <w:tcPr>
            <w:tcW w:type="dxa" w:w="4968"/>
            <w:vAlign w:val="center"/>
          </w:tcPr>
          <w:p>
            <w:r>
              <w:rPr>
                <w:sz w:val="18"/>
              </w:rPr>
              <w:t>Production DB target</w:t>
            </w:r>
          </w:p>
        </w:tc>
        <w:tc>
          <w:tcPr>
            <w:tcW w:type="dxa" w:w="4968"/>
            <w:vAlign w:val="center"/>
          </w:tcPr>
          <w:p>
            <w:r>
              <w:rPr>
                <w:sz w:val="18"/>
              </w:rPr>
              <w:t>Confirmed</w:t>
            </w:r>
          </w:p>
        </w:tc>
      </w:tr>
      <w:tr>
        <w:tc>
          <w:tcPr>
            <w:tcW w:type="dxa" w:w="4968"/>
            <w:vAlign w:val="center"/>
          </w:tcPr>
          <w:p>
            <w:r>
              <w:rPr>
                <w:sz w:val="18"/>
              </w:rPr>
              <w:t>Migration 140 physical schema</w:t>
            </w:r>
          </w:p>
        </w:tc>
        <w:tc>
          <w:tcPr>
            <w:tcW w:type="dxa" w:w="4968"/>
            <w:vAlign w:val="center"/>
          </w:tcPr>
          <w:p>
            <w:r>
              <w:rPr>
                <w:sz w:val="18"/>
              </w:rPr>
              <w:t>Verified</w:t>
            </w:r>
          </w:p>
        </w:tc>
      </w:tr>
      <w:tr>
        <w:tc>
          <w:tcPr>
            <w:tcW w:type="dxa" w:w="4968"/>
            <w:vAlign w:val="center"/>
          </w:tcPr>
          <w:p>
            <w:r>
              <w:rPr>
                <w:sz w:val="18"/>
              </w:rPr>
              <w:t>Migration 140 bookkeeping</w:t>
            </w:r>
          </w:p>
        </w:tc>
        <w:tc>
          <w:tcPr>
            <w:tcW w:type="dxa" w:w="4968"/>
            <w:vAlign w:val="center"/>
          </w:tcPr>
          <w:p>
            <w:r>
              <w:rPr>
                <w:sz w:val="18"/>
              </w:rPr>
              <w:t>Verified</w:t>
            </w:r>
          </w:p>
        </w:tc>
      </w:tr>
      <w:tr>
        <w:tc>
          <w:tcPr>
            <w:tcW w:type="dxa" w:w="4968"/>
            <w:vAlign w:val="center"/>
          </w:tcPr>
          <w:p>
            <w:r>
              <w:rPr>
                <w:sz w:val="18"/>
              </w:rPr>
              <w:t>Migration 130 production exclusion</w:t>
            </w:r>
          </w:p>
        </w:tc>
        <w:tc>
          <w:tcPr>
            <w:tcW w:type="dxa" w:w="4968"/>
            <w:vAlign w:val="center"/>
          </w:tcPr>
          <w:p>
            <w:r>
              <w:rPr>
                <w:sz w:val="18"/>
              </w:rPr>
              <w:t>Verified in history; policy still needs hardening</w:t>
            </w:r>
          </w:p>
        </w:tc>
      </w:tr>
      <w:tr>
        <w:tc>
          <w:tcPr>
            <w:tcW w:type="dxa" w:w="4968"/>
            <w:vAlign w:val="center"/>
          </w:tcPr>
          <w:p>
            <w:r>
              <w:rPr>
                <w:sz w:val="18"/>
              </w:rPr>
              <w:t>Real Resend delivery</w:t>
            </w:r>
          </w:p>
        </w:tc>
        <w:tc>
          <w:tcPr>
            <w:tcW w:type="dxa" w:w="4968"/>
            <w:vAlign w:val="center"/>
          </w:tcPr>
          <w:p>
            <w:r>
              <w:rPr>
                <w:sz w:val="18"/>
              </w:rPr>
              <w:t>Not yet certified</w:t>
            </w:r>
          </w:p>
        </w:tc>
      </w:tr>
      <w:tr>
        <w:tc>
          <w:tcPr>
            <w:tcW w:type="dxa" w:w="4968"/>
            <w:vAlign w:val="center"/>
          </w:tcPr>
          <w:p>
            <w:r>
              <w:rPr>
                <w:sz w:val="18"/>
              </w:rPr>
              <w:t>Real Twilio delivery/call</w:t>
            </w:r>
          </w:p>
        </w:tc>
        <w:tc>
          <w:tcPr>
            <w:tcW w:type="dxa" w:w="4968"/>
            <w:vAlign w:val="center"/>
          </w:tcPr>
          <w:p>
            <w:r>
              <w:rPr>
                <w:sz w:val="18"/>
              </w:rPr>
              <w:t>Not yet certified</w:t>
            </w:r>
          </w:p>
        </w:tc>
      </w:tr>
      <w:tr>
        <w:tc>
          <w:tcPr>
            <w:tcW w:type="dxa" w:w="4968"/>
            <w:vAlign w:val="center"/>
          </w:tcPr>
          <w:p>
            <w:r>
              <w:rPr>
                <w:sz w:val="18"/>
              </w:rPr>
              <w:t>Real Pusher two-browser E2E</w:t>
            </w:r>
          </w:p>
        </w:tc>
        <w:tc>
          <w:tcPr>
            <w:tcW w:type="dxa" w:w="4968"/>
            <w:vAlign w:val="center"/>
          </w:tcPr>
          <w:p>
            <w:r>
              <w:rPr>
                <w:sz w:val="18"/>
              </w:rPr>
              <w:t>Not yet certified</w:t>
            </w:r>
          </w:p>
        </w:tc>
      </w:tr>
      <w:tr>
        <w:tc>
          <w:tcPr>
            <w:tcW w:type="dxa" w:w="4968"/>
            <w:vAlign w:val="center"/>
          </w:tcPr>
          <w:p>
            <w:r>
              <w:rPr>
                <w:sz w:val="18"/>
              </w:rPr>
              <w:t>Real MediaMTX/RTSP/storage CCTV E2E</w:t>
            </w:r>
          </w:p>
        </w:tc>
        <w:tc>
          <w:tcPr>
            <w:tcW w:type="dxa" w:w="4968"/>
            <w:vAlign w:val="center"/>
          </w:tcPr>
          <w:p>
            <w:r>
              <w:rPr>
                <w:sz w:val="18"/>
              </w:rPr>
              <w:t>Not yet certified</w:t>
            </w:r>
          </w:p>
        </w:tc>
      </w:tr>
      <w:tr>
        <w:tc>
          <w:tcPr>
            <w:tcW w:type="dxa" w:w="4968"/>
            <w:vAlign w:val="center"/>
          </w:tcPr>
          <w:p>
            <w:r>
              <w:rPr>
                <w:sz w:val="18"/>
              </w:rPr>
              <w:t>Real Gemini E2E</w:t>
            </w:r>
          </w:p>
        </w:tc>
        <w:tc>
          <w:tcPr>
            <w:tcW w:type="dxa" w:w="4968"/>
            <w:vAlign w:val="center"/>
          </w:tcPr>
          <w:p>
            <w:r>
              <w:rPr>
                <w:sz w:val="18"/>
              </w:rPr>
              <w:t>Not yet certified in this update cycle</w:t>
            </w:r>
          </w:p>
        </w:tc>
      </w:tr>
      <w:tr>
        <w:tc>
          <w:tcPr>
            <w:tcW w:type="dxa" w:w="4968"/>
            <w:vAlign w:val="center"/>
          </w:tcPr>
          <w:p>
            <w:r>
              <w:rPr>
                <w:sz w:val="18"/>
              </w:rPr>
              <w:t>Measured DR restore/RPO/RTO</w:t>
            </w:r>
          </w:p>
        </w:tc>
        <w:tc>
          <w:tcPr>
            <w:tcW w:type="dxa" w:w="4968"/>
            <w:vAlign w:val="center"/>
          </w:tcPr>
          <w:p>
            <w:r>
              <w:rPr>
                <w:sz w:val="18"/>
              </w:rPr>
              <w:t>Not fully certified</w:t>
            </w:r>
          </w:p>
        </w:tc>
      </w:tr>
      <w:tr>
        <w:tc>
          <w:tcPr>
            <w:tcW w:type="dxa" w:w="4968"/>
            <w:vAlign w:val="center"/>
          </w:tcPr>
          <w:p>
            <w:r>
              <w:rPr>
                <w:sz w:val="18"/>
              </w:rPr>
              <w:t>Final production certification</w:t>
            </w:r>
          </w:p>
        </w:tc>
        <w:tc>
          <w:tcPr>
            <w:tcW w:type="dxa" w:w="4968"/>
            <w:vAlign w:val="center"/>
          </w:tcPr>
          <w:p>
            <w:r>
              <w:rPr>
                <w:sz w:val="18"/>
              </w:rPr>
              <w:t>Not complete</w:t>
            </w:r>
          </w:p>
        </w:tc>
      </w:tr>
    </w:tbl>
    <w:p/>
    <w:p>
      <w:pPr>
        <w:pStyle w:val="Heading1"/>
      </w:pPr>
      <w:r>
        <w:t>17. Current Remaining Work — Prioritized</w:t>
      </w:r>
    </w:p>
    <w:p>
      <w:pPr>
        <w:pStyle w:val="Heading2"/>
      </w:pPr>
      <w:r>
        <w:t>Priority 0 — Finish current Phase 14 demo certification</w:t>
      </w:r>
    </w:p>
    <w:p>
      <w:pPr>
        <w:pStyle w:val="ListBullet"/>
      </w:pPr>
      <w:r>
        <w:t>Complete provider configuration inventory.</w:t>
      </w:r>
    </w:p>
    <w:p>
      <w:pPr>
        <w:pStyle w:val="ListBullet"/>
      </w:pPr>
      <w:r>
        <w:t>Test real configured providers only through safe, narrowly scoped mechanisms.</w:t>
      </w:r>
    </w:p>
    <w:p>
      <w:pPr>
        <w:pStyle w:val="ListBullet"/>
      </w:pPr>
      <w:r>
        <w:t>Classify each provider honestly.</w:t>
      </w:r>
    </w:p>
    <w:p>
      <w:pPr>
        <w:pStyle w:val="ListBullet"/>
      </w:pPr>
      <w:r>
        <w:t>Verify safe degradation for unavailable providers.</w:t>
      </w:r>
    </w:p>
    <w:p>
      <w:pPr>
        <w:pStyle w:val="ListBullet"/>
      </w:pPr>
      <w:r>
        <w:t>Inspect logs for secret leakage.</w:t>
      </w:r>
    </w:p>
    <w:p>
      <w:pPr>
        <w:pStyle w:val="ListBullet"/>
      </w:pPr>
      <w:r>
        <w:t>Record which capabilities are actually available for the internal demo.</w:t>
      </w:r>
    </w:p>
    <w:p>
      <w:pPr>
        <w:pStyle w:val="Heading2"/>
      </w:pPr>
      <w:r>
        <w:t>Priority 1 — Remove remaining deployment/security fragility</w:t>
      </w:r>
    </w:p>
    <w:p>
      <w:pPr>
        <w:pStyle w:val="ListBullet"/>
      </w:pPr>
      <w:r>
        <w:t>Make migration 130 exclusion mechanically enforceable.</w:t>
      </w:r>
    </w:p>
    <w:p>
      <w:pPr>
        <w:pStyle w:val="ListBullet"/>
      </w:pPr>
      <w:r>
        <w:t>Complete remaining security finding dispositions.</w:t>
      </w:r>
    </w:p>
    <w:p>
      <w:pPr>
        <w:pStyle w:val="ListBullet"/>
      </w:pPr>
      <w:r>
        <w:t>Complete production cleanup for debug/demo/legacy paths.</w:t>
      </w:r>
    </w:p>
    <w:p>
      <w:pPr>
        <w:pStyle w:val="ListBullet"/>
      </w:pPr>
      <w:r>
        <w:t>Maintain migration/schema/live-DB reconciliation evidence.</w:t>
      </w:r>
    </w:p>
    <w:p>
      <w:pPr>
        <w:pStyle w:val="Heading2"/>
      </w:pPr>
      <w:r>
        <w:t>Priority 2 — Prove real hard integrations</w:t>
      </w:r>
    </w:p>
    <w:p>
      <w:pPr>
        <w:pStyle w:val="ListBullet"/>
      </w:pPr>
      <w:r>
        <w:t>Real CCTV pipeline and storage.</w:t>
      </w:r>
    </w:p>
    <w:p>
      <w:pPr>
        <w:pStyle w:val="ListBullet"/>
      </w:pPr>
      <w:r>
        <w:t>CCTV chaos and data-loss proof.</w:t>
      </w:r>
    </w:p>
    <w:p>
      <w:pPr>
        <w:pStyle w:val="ListBullet"/>
      </w:pPr>
      <w:r>
        <w:t>Real Pusher/browser WebRTC E2E.</w:t>
      </w:r>
    </w:p>
    <w:p>
      <w:pPr>
        <w:pStyle w:val="ListBullet"/>
      </w:pPr>
      <w:r>
        <w:t>Real Gemini/AI provider behavior.</w:t>
      </w:r>
    </w:p>
    <w:p>
      <w:pPr>
        <w:pStyle w:val="ListBullet"/>
      </w:pPr>
      <w:r>
        <w:t>Real Resend/Twilio sandbox or non-production certification where safe.</w:t>
      </w:r>
    </w:p>
    <w:p>
      <w:pPr>
        <w:pStyle w:val="Heading2"/>
      </w:pPr>
      <w:r>
        <w:t>Priority 3 — Operational certification</w:t>
      </w:r>
    </w:p>
    <w:p>
      <w:pPr>
        <w:pStyle w:val="ListBullet"/>
      </w:pPr>
      <w:r>
        <w:t>Backup/restore drills and measured RPO/RTO.</w:t>
      </w:r>
    </w:p>
    <w:p>
      <w:pPr>
        <w:pStyle w:val="ListBullet"/>
      </w:pPr>
      <w:r>
        <w:t>Worker/queue/database observability.</w:t>
      </w:r>
    </w:p>
    <w:p>
      <w:pPr>
        <w:pStyle w:val="ListBullet"/>
      </w:pPr>
      <w:r>
        <w:t>Final-topology concurrency/load testing.</w:t>
      </w:r>
    </w:p>
    <w:p>
      <w:pPr>
        <w:pStyle w:val="ListBullet"/>
      </w:pPr>
      <w:r>
        <w:t>Repeatable customer provisioning.</w:t>
      </w:r>
    </w:p>
    <w:p>
      <w:pPr>
        <w:pStyle w:val="ListBullet"/>
      </w:pPr>
      <w:r>
        <w:t>Client-specific infrastructure compatibility.</w:t>
      </w:r>
    </w:p>
    <w:p>
      <w:pPr>
        <w:pStyle w:val="ListBullet"/>
      </w:pPr>
      <w:r>
        <w:t>Final smoke/security/integration certification and release freeze.</w:t>
      </w:r>
    </w:p>
    <w:p>
      <w:pPr>
        <w:pStyle w:val="Heading1"/>
      </w:pPr>
      <w:r>
        <w:t>18. Phase 14 — Current Position</w:t>
      </w:r>
    </w:p>
    <w:p>
      <w:r>
        <w:rPr>
          <w:rFonts w:ascii="Consolas" w:hAnsi="Consolas"/>
          <w:sz w:val="17"/>
        </w:rPr>
        <w:t>Phase 14</w:t>
        <w:br/>
        <w:t xml:space="preserve">  ↓</w:t>
        <w:br/>
        <w:t>Step 6  Database isolation / migration safety     COMPLETE</w:t>
        <w:br/>
        <w:t xml:space="preserve">  ↓</w:t>
        <w:br/>
        <w:t>Step 7  Provider activation                      CURRENT</w:t>
        <w:br/>
        <w:t xml:space="preserve">  ↓</w:t>
        <w:br/>
        <w:t>Step 8  Email / SMS</w:t>
        <w:br/>
        <w:t>Step 9  Realtime / calling</w:t>
        <w:br/>
        <w:t>Step 10 CCTV</w:t>
        <w:br/>
        <w:t>Step 11 AI</w:t>
        <w:br/>
        <w:t>Step 12 Observability</w:t>
        <w:br/>
        <w:t>Step 13 DR</w:t>
        <w:br/>
        <w:t>Step 14 Scale</w:t>
        <w:br/>
        <w:t>Step 15 Release checklist</w:t>
        <w:br/>
        <w:t>Step 16 Production smoke</w:t>
        <w:br/>
        <w:t>Step 17 Rollback readiness</w:t>
        <w:br/>
        <w:t>Step 18 Final certification</w:t>
      </w:r>
    </w:p>
    <w:tbl>
      <w:tblPr>
        <w:tblStyle w:val="TableGrid"/>
        <w:tblW w:type="auto" w:w="0"/>
        <w:tblLook w:firstColumn="1" w:firstRow="1" w:lastColumn="0" w:lastRow="0" w:noHBand="0" w:noVBand="1" w:val="04A0"/>
      </w:tblPr>
      <w:tblGrid>
        <w:gridCol w:w="9936"/>
      </w:tblGrid>
      <w:tr>
        <w:tc>
          <w:tcPr>
            <w:tcW w:type="dxa" w:w="9936"/>
            <w:shd w:fill="FFF2CC"/>
          </w:tcPr>
          <w:p>
            <w:r>
              <w:rPr>
                <w:b/>
              </w:rPr>
              <w:t>Current decision</w:t>
              <w:br/>
              <w:t>Proceed to Phase 14 Step 7. Do not declare the deployment fully production-certified. Provider readiness must be proven provider-by-provider.</w:t>
            </w:r>
          </w:p>
        </w:tc>
      </w:tr>
    </w:tbl>
    <w:p/>
    <w:p>
      <w:pPr>
        <w:pStyle w:val="Heading1"/>
      </w:pPr>
      <w:r>
        <w:t>19. Phase 14 Step 7 — Immediate Plan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Provider</w:t>
            </w:r>
          </w:p>
        </w:tc>
        <w:tc>
          <w:tcPr>
            <w:tcW w:type="dxa" w:w="3312"/>
            <w:shd w:fill="D9EAF7"/>
          </w:tcPr>
          <w:p>
            <w:r>
              <w:rPr>
                <w:b/>
              </w:rPr>
              <w:t>Safe verification</w:t>
            </w:r>
          </w:p>
        </w:tc>
        <w:tc>
          <w:tcPr>
            <w:tcW w:type="dxa" w:w="3312"/>
            <w:shd w:fill="D9EAF7"/>
          </w:tcPr>
          <w:p>
            <w:r>
              <w:rPr>
                <w:b/>
              </w:rPr>
              <w:t>Expected classification options</w:t>
            </w:r>
          </w:p>
        </w:tc>
      </w:tr>
      <w:tr>
        <w:tc>
          <w:tcPr>
            <w:tcW w:type="dxa" w:w="3312"/>
            <w:vAlign w:val="center"/>
          </w:tcPr>
          <w:p>
            <w:r>
              <w:rPr>
                <w:sz w:val="18"/>
              </w:rPr>
              <w:t>Clerk</w:t>
            </w:r>
          </w:p>
        </w:tc>
        <w:tc>
          <w:tcPr>
            <w:tcW w:type="dxa" w:w="3312"/>
            <w:vAlign w:val="center"/>
          </w:tcPr>
          <w:p>
            <w:r>
              <w:rPr>
                <w:sz w:val="18"/>
              </w:rPr>
              <w:t>Hosted auth/protection smoke</w:t>
            </w:r>
          </w:p>
        </w:tc>
        <w:tc>
          <w:tcPr>
            <w:tcW w:type="dxa" w:w="3312"/>
            <w:vAlign w:val="center"/>
          </w:tcPr>
          <w:p>
            <w:r>
              <w:rPr>
                <w:sz w:val="18"/>
              </w:rPr>
              <w:t>Verified / Blocked</w:t>
            </w:r>
          </w:p>
        </w:tc>
      </w:tr>
      <w:tr>
        <w:tc>
          <w:tcPr>
            <w:tcW w:type="dxa" w:w="3312"/>
            <w:vAlign w:val="center"/>
          </w:tcPr>
          <w:p>
            <w:r>
              <w:rPr>
                <w:sz w:val="18"/>
              </w:rPr>
              <w:t>Gemini</w:t>
            </w:r>
          </w:p>
        </w:tc>
        <w:tc>
          <w:tcPr>
            <w:tcW w:type="dxa" w:w="3312"/>
            <w:vAlign w:val="center"/>
          </w:tcPr>
          <w:p>
            <w:r>
              <w:rPr>
                <w:sz w:val="18"/>
              </w:rPr>
              <w:t>Harmless synthetic real-provider request if safely available</w:t>
            </w:r>
          </w:p>
        </w:tc>
        <w:tc>
          <w:tcPr>
            <w:tcW w:type="dxa" w:w="3312"/>
            <w:vAlign w:val="center"/>
          </w:tcPr>
          <w:p>
            <w:r>
              <w:rPr>
                <w:sz w:val="18"/>
              </w:rPr>
              <w:t>E2E verified / Config-only / Unverified / Degraded</w:t>
            </w:r>
          </w:p>
        </w:tc>
      </w:tr>
      <w:tr>
        <w:tc>
          <w:tcPr>
            <w:tcW w:type="dxa" w:w="3312"/>
            <w:vAlign w:val="center"/>
          </w:tcPr>
          <w:p>
            <w:r>
              <w:rPr>
                <w:sz w:val="18"/>
              </w:rPr>
              <w:t>Resend</w:t>
            </w:r>
          </w:p>
        </w:tc>
        <w:tc>
          <w:tcPr>
            <w:tcW w:type="dxa" w:w="3312"/>
            <w:vAlign w:val="center"/>
          </w:tcPr>
          <w:p>
            <w:r>
              <w:rPr>
                <w:sz w:val="18"/>
              </w:rPr>
              <w:t>Only known-safe non-production recipient/domain</w:t>
            </w:r>
          </w:p>
        </w:tc>
        <w:tc>
          <w:tcPr>
            <w:tcW w:type="dxa" w:w="3312"/>
            <w:vAlign w:val="center"/>
          </w:tcPr>
          <w:p>
            <w:r>
              <w:rPr>
                <w:sz w:val="18"/>
              </w:rPr>
              <w:t>E2E verified / Config-only / Unverified / Degraded</w:t>
            </w:r>
          </w:p>
        </w:tc>
      </w:tr>
      <w:tr>
        <w:tc>
          <w:tcPr>
            <w:tcW w:type="dxa" w:w="3312"/>
            <w:vAlign w:val="center"/>
          </w:tcPr>
          <w:p>
            <w:r>
              <w:rPr>
                <w:sz w:val="18"/>
              </w:rPr>
              <w:t>Twilio</w:t>
            </w:r>
          </w:p>
        </w:tc>
        <w:tc>
          <w:tcPr>
            <w:tcW w:type="dxa" w:w="3312"/>
            <w:vAlign w:val="center"/>
          </w:tcPr>
          <w:p>
            <w:r>
              <w:rPr>
                <w:sz w:val="18"/>
              </w:rPr>
              <w:t>Only documented safe sandbox/demo destination</w:t>
            </w:r>
          </w:p>
        </w:tc>
        <w:tc>
          <w:tcPr>
            <w:tcW w:type="dxa" w:w="3312"/>
            <w:vAlign w:val="center"/>
          </w:tcPr>
          <w:p>
            <w:r>
              <w:rPr>
                <w:sz w:val="18"/>
              </w:rPr>
              <w:t>E2E verified / Config-only / Unverified / Degraded</w:t>
            </w:r>
          </w:p>
        </w:tc>
      </w:tr>
      <w:tr>
        <w:tc>
          <w:tcPr>
            <w:tcW w:type="dxa" w:w="3312"/>
            <w:vAlign w:val="center"/>
          </w:tcPr>
          <w:p>
            <w:r>
              <w:rPr>
                <w:sz w:val="18"/>
              </w:rPr>
              <w:t>Pusher</w:t>
            </w:r>
          </w:p>
        </w:tc>
        <w:tc>
          <w:tcPr>
            <w:tcW w:type="dxa" w:w="3312"/>
            <w:vAlign w:val="center"/>
          </w:tcPr>
          <w:p>
            <w:r>
              <w:rPr>
                <w:sz w:val="18"/>
              </w:rPr>
              <w:t>Server auth/channel authorization; browser test if safe</w:t>
            </w:r>
          </w:p>
        </w:tc>
        <w:tc>
          <w:tcPr>
            <w:tcW w:type="dxa" w:w="3312"/>
            <w:vAlign w:val="center"/>
          </w:tcPr>
          <w:p>
            <w:r>
              <w:rPr>
                <w:sz w:val="18"/>
              </w:rPr>
              <w:t>E2E verified / Config-only / Unverified</w:t>
            </w:r>
          </w:p>
        </w:tc>
      </w:tr>
      <w:tr>
        <w:tc>
          <w:tcPr>
            <w:tcW w:type="dxa" w:w="3312"/>
            <w:vAlign w:val="center"/>
          </w:tcPr>
          <w:p>
            <w:r>
              <w:rPr>
                <w:sz w:val="18"/>
              </w:rPr>
              <w:t>MediaMTX</w:t>
            </w:r>
          </w:p>
        </w:tc>
        <w:tc>
          <w:tcPr>
            <w:tcW w:type="dxa" w:w="3312"/>
            <w:vAlign w:val="center"/>
          </w:tcPr>
          <w:p>
            <w:r>
              <w:rPr>
                <w:sz w:val="18"/>
              </w:rPr>
              <w:t>Endpoint/configuration check</w:t>
            </w:r>
          </w:p>
        </w:tc>
        <w:tc>
          <w:tcPr>
            <w:tcW w:type="dxa" w:w="3312"/>
            <w:vAlign w:val="center"/>
          </w:tcPr>
          <w:p>
            <w:r>
              <w:rPr>
                <w:sz w:val="18"/>
              </w:rPr>
              <w:t>Config-only / Unverified / Blocked</w:t>
            </w:r>
          </w:p>
        </w:tc>
      </w:tr>
      <w:tr>
        <w:tc>
          <w:tcPr>
            <w:tcW w:type="dxa" w:w="3312"/>
            <w:vAlign w:val="center"/>
          </w:tcPr>
          <w:p>
            <w:r>
              <w:rPr>
                <w:sz w:val="18"/>
              </w:rPr>
              <w:t>S3</w:t>
            </w:r>
          </w:p>
        </w:tc>
        <w:tc>
          <w:tcPr>
            <w:tcW w:type="dxa" w:w="3312"/>
            <w:vAlign w:val="center"/>
          </w:tcPr>
          <w:p>
            <w:r>
              <w:rPr>
                <w:sz w:val="18"/>
              </w:rPr>
              <w:t>Non-destructive connectivity/test object if existing safe mechanism exists</w:t>
            </w:r>
          </w:p>
        </w:tc>
        <w:tc>
          <w:tcPr>
            <w:tcW w:type="dxa" w:w="3312"/>
            <w:vAlign w:val="center"/>
          </w:tcPr>
          <w:p>
            <w:r>
              <w:rPr>
                <w:sz w:val="18"/>
              </w:rPr>
              <w:t>Verified / Config-only / Unverified</w:t>
            </w:r>
          </w:p>
        </w:tc>
      </w:tr>
      <w:tr>
        <w:tc>
          <w:tcPr>
            <w:tcW w:type="dxa" w:w="3312"/>
            <w:vAlign w:val="center"/>
          </w:tcPr>
          <w:p>
            <w:r>
              <w:rPr>
                <w:sz w:val="18"/>
              </w:rPr>
              <w:t>Redis</w:t>
            </w:r>
          </w:p>
        </w:tc>
        <w:tc>
          <w:tcPr>
            <w:tcW w:type="dxa" w:w="3312"/>
            <w:vAlign w:val="center"/>
          </w:tcPr>
          <w:p>
            <w:r>
              <w:rPr>
                <w:sz w:val="18"/>
              </w:rPr>
              <w:t>Connectivity only; never flush</w:t>
            </w:r>
          </w:p>
        </w:tc>
        <w:tc>
          <w:tcPr>
            <w:tcW w:type="dxa" w:w="3312"/>
            <w:vAlign w:val="center"/>
          </w:tcPr>
          <w:p>
            <w:r>
              <w:rPr>
                <w:sz w:val="18"/>
              </w:rPr>
              <w:t>Verified / Unverified</w:t>
            </w:r>
          </w:p>
        </w:tc>
      </w:tr>
      <w:tr>
        <w:tc>
          <w:tcPr>
            <w:tcW w:type="dxa" w:w="3312"/>
            <w:vAlign w:val="center"/>
          </w:tcPr>
          <w:p>
            <w:r>
              <w:rPr>
                <w:sz w:val="18"/>
              </w:rPr>
              <w:t>Inngest</w:t>
            </w:r>
          </w:p>
        </w:tc>
        <w:tc>
          <w:tcPr>
            <w:tcW w:type="dxa" w:w="3312"/>
            <w:vAlign w:val="center"/>
          </w:tcPr>
          <w:p>
            <w:r>
              <w:rPr>
                <w:sz w:val="18"/>
              </w:rPr>
              <w:t>Endpoint/handshake or harmless synthetic event</w:t>
            </w:r>
          </w:p>
        </w:tc>
        <w:tc>
          <w:tcPr>
            <w:tcW w:type="dxa" w:w="3312"/>
            <w:vAlign w:val="center"/>
          </w:tcPr>
          <w:p>
            <w:r>
              <w:rPr>
                <w:sz w:val="18"/>
              </w:rPr>
              <w:t>Verified / Config-only / Unverified</w:t>
            </w:r>
          </w:p>
        </w:tc>
      </w:tr>
    </w:tbl>
    <w:p/>
    <w:p>
      <w:r>
        <w:t>Do not send unintended email/SMS/calls, do not touch customer objects, and do not weaken security to make a provider test pass.</w:t>
      </w:r>
    </w:p>
    <w:p>
      <w:pPr>
        <w:pStyle w:val="Heading1"/>
      </w:pPr>
      <w:r>
        <w:t>20. Future Customer Onboarding</w:t>
      </w:r>
    </w:p>
    <w:p>
      <w:r>
        <w:rPr>
          <w:rFonts w:ascii="Consolas" w:hAnsi="Consolas"/>
          <w:sz w:val="17"/>
        </w:rPr>
        <w:t>CLIENT</w:t>
        <w:br/>
        <w:t xml:space="preserve">  ↓</w:t>
        <w:br/>
        <w:t>Requirements + infrastructure selection</w:t>
        <w:br/>
        <w:t xml:space="preserve">  ↓</w:t>
        <w:br/>
        <w:t>ISOLATED APPLICATION DEPLOYMENT</w:t>
        <w:br/>
        <w:t xml:space="preserve">  ↓</w:t>
        <w:br/>
        <w:t>DATABASE + AUTH + SECURITY</w:t>
        <w:br/>
        <w:t xml:space="preserve">  ↓</w:t>
        <w:br/>
        <w:t>CANONICAL BASELINE / CONTROLLED MIGRATIONS</w:t>
        <w:br/>
        <w:t xml:space="preserve">  ↓</w:t>
        <w:br/>
        <w:t>CLIENT .env / SECURE SECRET STORE</w:t>
        <w:br/>
        <w:t xml:space="preserve">  ↓</w:t>
        <w:br/>
        <w:t>PROVIDER HEALTH + CAPABILITY CHECKS</w:t>
        <w:br/>
        <w:t xml:space="preserve">  ↓</w:t>
        <w:br/>
        <w:t>NON-DESTRUCTIVE INTEGRATION TESTS</w:t>
        <w:br/>
        <w:t xml:space="preserve">  ↓</w:t>
        <w:br/>
        <w:t>SMOKE + SECURITY + OPERATIONAL CERTIFICATION</w:t>
        <w:br/>
        <w:t xml:space="preserve">  ↓</w:t>
        <w:br/>
        <w:t>READY / HANDOVER</w:t>
      </w:r>
    </w:p>
    <w:p>
      <w:r>
        <w:t>The intended customer experience is configuration and certification, not a code fork. Compatible infrastructure may vary, but every actual combination must be validated. For example, AWS/RDS can be an architectural target only after PostgreSQL/RLS/extensions/roles/pooling/storage compatibility is proven for that deployment.</w:t>
      </w:r>
    </w:p>
    <w:p>
      <w:pPr>
        <w:pStyle w:val="Heading1"/>
      </w:pPr>
      <w:r>
        <w:t>21. Provider-Agnostic Design</w:t>
      </w:r>
    </w:p>
    <w:p>
      <w:pPr>
        <w:pStyle w:val="ListBullet"/>
      </w:pPr>
      <w:r>
        <w:t>Email provider details remain behind an email contract.</w:t>
      </w:r>
    </w:p>
    <w:p>
      <w:pPr>
        <w:pStyle w:val="ListBullet"/>
      </w:pPr>
      <w:r>
        <w:t>Telephony/SMS details remain behind communication/telephony contracts.</w:t>
      </w:r>
    </w:p>
    <w:p>
      <w:pPr>
        <w:pStyle w:val="ListBullet"/>
      </w:pPr>
      <w:r>
        <w:t>AI details remain behind controlled provider adapters and application authorization.</w:t>
      </w:r>
    </w:p>
    <w:p>
      <w:pPr>
        <w:pStyle w:val="ListBullet"/>
      </w:pPr>
      <w:r>
        <w:t>Realtime details remain behind managed channel/signaling boundaries.</w:t>
      </w:r>
    </w:p>
    <w:p>
      <w:pPr>
        <w:pStyle w:val="ListBullet"/>
      </w:pPr>
      <w:r>
        <w:t>Storage remains behind S3-compatible storage contracts.</w:t>
      </w:r>
    </w:p>
    <w:p>
      <w:pPr>
        <w:pStyle w:val="ListBullet"/>
      </w:pPr>
      <w:r>
        <w:t>CCTV uses external MediaMTX/worker infrastructure rather than serverless filesystem assumptions.</w:t>
      </w:r>
    </w:p>
    <w:p>
      <w:pPr>
        <w:pStyle w:val="ListBullet"/>
      </w:pPr>
      <w:r>
        <w:t>Database portability requires actual validation of PostgreSQL, extensions, roles, RLS and pooling.</w:t>
      </w:r>
    </w:p>
    <w:p>
      <w:pPr>
        <w:pStyle w:val="ListBullet"/>
      </w:pPr>
      <w:r>
        <w:t>Changing providers may require an adapter, but should not require rewriting CRM business logic.</w:t>
      </w:r>
    </w:p>
    <w:p>
      <w:pPr>
        <w:pStyle w:val="Heading1"/>
      </w:pPr>
      <w:r>
        <w:t>22. Final Definition of Done</w:t>
      </w:r>
    </w:p>
    <w:p>
      <w:pPr>
        <w:pStyle w:val="ListBullet"/>
      </w:pPr>
      <w:r>
        <w:t>CRM workflows are complete and usable end-to-end.</w:t>
      </w:r>
    </w:p>
    <w:p>
      <w:pPr>
        <w:pStyle w:val="ListBullet"/>
      </w:pPr>
      <w:r>
        <w:t>Communication, telephony, email and SMS work through selected providers with failure/retry/idempotency evidence.</w:t>
      </w:r>
    </w:p>
    <w:p>
      <w:pPr>
        <w:pStyle w:val="ListBullet"/>
      </w:pPr>
      <w:r>
        <w:t>CCTV has a real operational pipeline where deployed.</w:t>
      </w:r>
    </w:p>
    <w:p>
      <w:pPr>
        <w:pStyle w:val="ListBullet"/>
      </w:pPr>
      <w:r>
        <w:t>AI uses controlled authorized tools and real provider evidence where enabled.</w:t>
      </w:r>
    </w:p>
    <w:p>
      <w:pPr>
        <w:pStyle w:val="ListBullet"/>
      </w:pPr>
      <w:r>
        <w:t>Realtime has secure managed channels/calling/presence and degradation behavior.</w:t>
      </w:r>
    </w:p>
    <w:p>
      <w:pPr>
        <w:pStyle w:val="ListBullet"/>
      </w:pPr>
      <w:r>
        <w:t>Company → department → employee onboarding and RBAC are complete.</w:t>
      </w:r>
    </w:p>
    <w:p>
      <w:pPr>
        <w:pStyle w:val="ListBullet"/>
      </w:pPr>
      <w:r>
        <w:t>Products, pricing, quotations, approvals and commercial reporting are complete.</w:t>
      </w:r>
    </w:p>
    <w:p>
      <w:pPr>
        <w:pStyle w:val="ListBullet"/>
      </w:pPr>
      <w:r>
        <w:t>Reporting, alerts and notifications are complete.</w:t>
      </w:r>
    </w:p>
    <w:p>
      <w:pPr>
        <w:pStyle w:val="ListBullet"/>
      </w:pPr>
      <w:r>
        <w:t>Tenant isolation, RLS, RBAC, IDOR, webhook, secret, logging, SSRF/path and abuse controls are verified.</w:t>
      </w:r>
    </w:p>
    <w:p>
      <w:pPr>
        <w:pStyle w:val="ListBullet"/>
      </w:pPr>
      <w:r>
        <w:t>Workers have claiming, leases, fencing, node affinity, graceful shutdown, idempotency and recovery.</w:t>
      </w:r>
    </w:p>
    <w:p>
      <w:pPr>
        <w:pStyle w:val="ListBullet"/>
      </w:pPr>
      <w:r>
        <w:t>CCTV data-loss invariants are proven under failure scenarios.</w:t>
      </w:r>
    </w:p>
    <w:p>
      <w:pPr>
        <w:pStyle w:val="ListBullet"/>
      </w:pPr>
      <w:r>
        <w:t>Observability, backup/recovery, measured RPO/RTO and runbooks are usable.</w:t>
      </w:r>
    </w:p>
    <w:p>
      <w:pPr>
        <w:pStyle w:val="ListBullet"/>
      </w:pPr>
      <w:r>
        <w:t>Concurrency/load testing is performed against intended topology.</w:t>
      </w:r>
    </w:p>
    <w:p>
      <w:pPr>
        <w:pStyle w:val="ListBullet"/>
      </w:pPr>
      <w:r>
        <w:t>New company provisioning is repeatable without business-logic forks.</w:t>
      </w:r>
    </w:p>
    <w:p>
      <w:pPr>
        <w:pStyle w:val="ListBullet"/>
      </w:pPr>
      <w:r>
        <w:t>Client-specific credentials can replace demo configuration without architectural rewrites.</w:t>
      </w:r>
    </w:p>
    <w:p>
      <w:pPr>
        <w:pStyle w:val="ListBullet"/>
      </w:pPr>
      <w:r>
        <w:t>Supported client infrastructure combinations pass provisioning and smoke/security certification.</w:t>
      </w:r>
    </w:p>
    <w:p>
      <w:pPr>
        <w:pStyle w:val="ListBullet"/>
      </w:pPr>
      <w:r>
        <w:t>Final stabilization gates have reproducible evidence and no unexplained critical failures.</w:t>
      </w:r>
    </w:p>
    <w:p>
      <w:pPr>
        <w:pStyle w:val="ListBullet"/>
      </w:pPr>
      <w:r>
        <w:t>Production is certified, not merely deployed.</w:t>
      </w:r>
    </w:p>
    <w:p>
      <w:pPr>
        <w:pStyle w:val="Heading1"/>
      </w:pPr>
      <w:r>
        <w:t>23. Risks That Must Stay Visible</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Risk</w:t>
            </w:r>
          </w:p>
        </w:tc>
        <w:tc>
          <w:tcPr>
            <w:tcW w:type="dxa" w:w="4968"/>
            <w:shd w:fill="D9EAF7"/>
          </w:tcPr>
          <w:p>
            <w:r>
              <w:rPr>
                <w:b/>
              </w:rPr>
              <w:t>Control</w:t>
            </w:r>
          </w:p>
        </w:tc>
      </w:tr>
      <w:tr>
        <w:tc>
          <w:tcPr>
            <w:tcW w:type="dxa" w:w="4968"/>
            <w:vAlign w:val="center"/>
          </w:tcPr>
          <w:p>
            <w:r>
              <w:rPr>
                <w:sz w:val="18"/>
              </w:rPr>
              <w:t>Credential exposure</w:t>
            </w:r>
          </w:p>
        </w:tc>
        <w:tc>
          <w:tcPr>
            <w:tcW w:type="dxa" w:w="4968"/>
            <w:vAlign w:val="center"/>
          </w:tcPr>
          <w:p>
            <w:r>
              <w:rPr>
                <w:sz w:val="18"/>
              </w:rPr>
              <w:t>Treat exposed secrets as compromised; rotate through secure workflow; never repeat them.</w:t>
            </w:r>
          </w:p>
        </w:tc>
      </w:tr>
      <w:tr>
        <w:tc>
          <w:tcPr>
            <w:tcW w:type="dxa" w:w="4968"/>
            <w:vAlign w:val="center"/>
          </w:tcPr>
          <w:p>
            <w:r>
              <w:rPr>
                <w:sz w:val="18"/>
              </w:rPr>
              <w:t>Demo leakage</w:t>
            </w:r>
          </w:p>
        </w:tc>
        <w:tc>
          <w:tcPr>
            <w:tcW w:type="dxa" w:w="4968"/>
            <w:vAlign w:val="center"/>
          </w:tcPr>
          <w:p>
            <w:r>
              <w:rPr>
                <w:sz w:val="18"/>
              </w:rPr>
              <w:t>Explicit demo/test mode; never silently create fake production records.</w:t>
            </w:r>
          </w:p>
        </w:tc>
      </w:tr>
      <w:tr>
        <w:tc>
          <w:tcPr>
            <w:tcW w:type="dxa" w:w="4968"/>
            <w:vAlign w:val="center"/>
          </w:tcPr>
          <w:p>
            <w:r>
              <w:rPr>
                <w:sz w:val="18"/>
              </w:rPr>
              <w:t>CCTV data loss</w:t>
            </w:r>
          </w:p>
        </w:tc>
        <w:tc>
          <w:tcPr>
            <w:tcW w:type="dxa" w:w="4968"/>
            <w:vAlign w:val="center"/>
          </w:tcPr>
          <w:p>
            <w:r>
              <w:rPr>
                <w:sz w:val="18"/>
              </w:rPr>
              <w:t>Upload → integrity → durable DB state → delete local source.</w:t>
            </w:r>
          </w:p>
        </w:tc>
      </w:tr>
      <w:tr>
        <w:tc>
          <w:tcPr>
            <w:tcW w:type="dxa" w:w="4968"/>
            <w:vAlign w:val="center"/>
          </w:tcPr>
          <w:p>
            <w:r>
              <w:rPr>
                <w:sz w:val="18"/>
              </w:rPr>
              <w:t>Migration drift</w:t>
            </w:r>
          </w:p>
        </w:tc>
        <w:tc>
          <w:tcPr>
            <w:tcW w:type="dxa" w:w="4968"/>
            <w:vAlign w:val="center"/>
          </w:tcPr>
          <w:p>
            <w:r>
              <w:rPr>
                <w:sz w:val="18"/>
              </w:rPr>
              <w:t>Canonical baseline + reconciliation + controlled migration policy.</w:t>
            </w:r>
          </w:p>
        </w:tc>
      </w:tr>
      <w:tr>
        <w:tc>
          <w:tcPr>
            <w:tcW w:type="dxa" w:w="4968"/>
            <w:vAlign w:val="center"/>
          </w:tcPr>
          <w:p>
            <w:r>
              <w:rPr>
                <w:sz w:val="18"/>
              </w:rPr>
              <w:t>Migration 130 accidental deployment</w:t>
            </w:r>
          </w:p>
        </w:tc>
        <w:tc>
          <w:tcPr>
            <w:tcW w:type="dxa" w:w="4968"/>
            <w:vAlign w:val="center"/>
          </w:tcPr>
          <w:p>
            <w:r>
              <w:rPr>
                <w:sz w:val="18"/>
              </w:rPr>
              <w:t>Mechanically separate/guard E2E-only migrations before routine production migration operations.</w:t>
            </w:r>
          </w:p>
        </w:tc>
      </w:tr>
      <w:tr>
        <w:tc>
          <w:tcPr>
            <w:tcW w:type="dxa" w:w="4968"/>
            <w:vAlign w:val="center"/>
          </w:tcPr>
          <w:p>
            <w:r>
              <w:rPr>
                <w:sz w:val="18"/>
              </w:rPr>
              <w:t>Database portability</w:t>
            </w:r>
          </w:p>
        </w:tc>
        <w:tc>
          <w:tcPr>
            <w:tcW w:type="dxa" w:w="4968"/>
            <w:vAlign w:val="center"/>
          </w:tcPr>
          <w:p>
            <w:r>
              <w:rPr>
                <w:sz w:val="18"/>
              </w:rPr>
              <w:t>Validate PostgreSQL/RLS/extensions/roles/pooling per target.</w:t>
            </w:r>
          </w:p>
        </w:tc>
      </w:tr>
      <w:tr>
        <w:tc>
          <w:tcPr>
            <w:tcW w:type="dxa" w:w="4968"/>
            <w:vAlign w:val="center"/>
          </w:tcPr>
          <w:p>
            <w:r>
              <w:rPr>
                <w:sz w:val="18"/>
              </w:rPr>
              <w:t>Realtime</w:t>
            </w:r>
          </w:p>
        </w:tc>
        <w:tc>
          <w:tcPr>
            <w:tcW w:type="dxa" w:w="4968"/>
            <w:vAlign w:val="center"/>
          </w:tcPr>
          <w:p>
            <w:r>
              <w:rPr>
                <w:sz w:val="18"/>
              </w:rPr>
              <w:t>Application authorization remains the security boundary.</w:t>
            </w:r>
          </w:p>
        </w:tc>
      </w:tr>
      <w:tr>
        <w:tc>
          <w:tcPr>
            <w:tcW w:type="dxa" w:w="4968"/>
            <w:vAlign w:val="center"/>
          </w:tcPr>
          <w:p>
            <w:r>
              <w:rPr>
                <w:sz w:val="18"/>
              </w:rPr>
              <w:t>Provider idempotency</w:t>
            </w:r>
          </w:p>
        </w:tc>
        <w:tc>
          <w:tcPr>
            <w:tcW w:type="dxa" w:w="4968"/>
            <w:vAlign w:val="center"/>
          </w:tcPr>
          <w:p>
            <w:r>
              <w:rPr>
                <w:sz w:val="18"/>
              </w:rPr>
              <w:t>Do not confuse internal job identity with provider-level exactly-once guarantees.</w:t>
            </w:r>
          </w:p>
        </w:tc>
      </w:tr>
      <w:tr>
        <w:tc>
          <w:tcPr>
            <w:tcW w:type="dxa" w:w="4968"/>
            <w:vAlign w:val="center"/>
          </w:tcPr>
          <w:p>
            <w:r>
              <w:rPr>
                <w:sz w:val="18"/>
              </w:rPr>
              <w:t>Scale</w:t>
            </w:r>
          </w:p>
        </w:tc>
        <w:tc>
          <w:tcPr>
            <w:tcW w:type="dxa" w:w="4968"/>
            <w:vAlign w:val="center"/>
          </w:tcPr>
          <w:p>
            <w:r>
              <w:rPr>
                <w:sz w:val="18"/>
              </w:rPr>
              <w:t>Use measured load tests, not unit-test inference.</w:t>
            </w:r>
          </w:p>
        </w:tc>
      </w:tr>
      <w:tr>
        <w:tc>
          <w:tcPr>
            <w:tcW w:type="dxa" w:w="4968"/>
            <w:vAlign w:val="center"/>
          </w:tcPr>
          <w:p>
            <w:r>
              <w:rPr>
                <w:sz w:val="18"/>
              </w:rPr>
              <w:t>Production confidence</w:t>
            </w:r>
          </w:p>
        </w:tc>
        <w:tc>
          <w:tcPr>
            <w:tcW w:type="dxa" w:w="4968"/>
            <w:vAlign w:val="center"/>
          </w:tcPr>
          <w:p>
            <w:r>
              <w:rPr>
                <w:sz w:val="18"/>
              </w:rPr>
              <w:t>Keep implementation maturity separate from certification.</w:t>
            </w:r>
          </w:p>
        </w:tc>
      </w:tr>
    </w:tbl>
    <w:p/>
    <w:p>
      <w:pPr>
        <w:pStyle w:val="Heading1"/>
      </w:pPr>
      <w:r>
        <w:t>24. Development Rules Going Forward</w:t>
      </w:r>
    </w:p>
    <w:p>
      <w:pPr>
        <w:pStyle w:val="ListNumber"/>
      </w:pPr>
      <w:r>
        <w:t>Read the latest handover, roadmap and repository state before architecture changes.</w:t>
      </w:r>
    </w:p>
    <w:p>
      <w:pPr>
        <w:pStyle w:val="ListNumber"/>
      </w:pPr>
      <w:r>
        <w:t>Prefer the latest explicit architectural decision when documents conflict.</w:t>
      </w:r>
    </w:p>
    <w:p>
      <w:pPr>
        <w:pStyle w:val="ListNumber"/>
      </w:pPr>
      <w:r>
        <w:t>Do not restart completed work without a reproducible defect.</w:t>
      </w:r>
    </w:p>
    <w:p>
      <w:pPr>
        <w:pStyle w:val="ListNumber"/>
      </w:pPr>
      <w:r>
        <w:t>Audit before implementation and define acceptance criteria.</w:t>
      </w:r>
    </w:p>
    <w:p>
      <w:pPr>
        <w:pStyle w:val="ListNumber"/>
      </w:pPr>
      <w:r>
        <w:t>Use the smallest complete change and add focused adversarial tests.</w:t>
      </w:r>
    </w:p>
    <w:p>
      <w:pPr>
        <w:pStyle w:val="ListNumber"/>
      </w:pPr>
      <w:r>
        <w:t>Use PASS / FAIL / BLOCKED / DEFERRED / ACCEPTED RISK explicitly.</w:t>
      </w:r>
    </w:p>
    <w:p>
      <w:pPr>
        <w:pStyle w:val="ListNumber"/>
      </w:pPr>
      <w:r>
        <w:t>Never claim runtime behavior from code inspection when executable evidence is possible.</w:t>
      </w:r>
    </w:p>
    <w:p>
      <w:pPr>
        <w:pStyle w:val="ListNumber"/>
      </w:pPr>
      <w:r>
        <w:t>Never invent credentials or provider success.</w:t>
      </w:r>
    </w:p>
    <w:p>
      <w:pPr>
        <w:pStyle w:val="ListNumber"/>
      </w:pPr>
      <w:r>
        <w:t>Never trust client-supplied tenant/resource identifiers without authorization.</w:t>
      </w:r>
    </w:p>
    <w:p>
      <w:pPr>
        <w:pStyle w:val="ListNumber"/>
      </w:pPr>
      <w:r>
        <w:t>Never give AI unrestricted database access.</w:t>
      </w:r>
    </w:p>
    <w:p>
      <w:pPr>
        <w:pStyle w:val="ListNumber"/>
      </w:pPr>
      <w:r>
        <w:t>Never put persistent CCTV workers/filesystem processing into serverless routes.</w:t>
      </w:r>
    </w:p>
    <w:p>
      <w:pPr>
        <w:pStyle w:val="ListNumber"/>
      </w:pPr>
      <w:r>
        <w:t>Never delete CCTV artifacts before verified durable storage.</w:t>
      </w:r>
    </w:p>
    <w:p>
      <w:pPr>
        <w:pStyle w:val="ListNumber"/>
      </w:pPr>
      <w:r>
        <w:t>Do not hide failures with blanket suppression.</w:t>
      </w:r>
    </w:p>
    <w:p>
      <w:pPr>
        <w:pStyle w:val="ListNumber"/>
      </w:pPr>
      <w:r>
        <w:t>Keep each customer's credentials isolated to that deployment.</w:t>
      </w:r>
    </w:p>
    <w:p>
      <w:pPr>
        <w:pStyle w:val="ListNumber"/>
      </w:pPr>
      <w:r>
        <w:t>Do not run destructive production DB operations without explicit authorization and target confirmation.</w:t>
      </w:r>
    </w:p>
    <w:p>
      <w:pPr>
        <w:pStyle w:val="ListNumber"/>
      </w:pPr>
      <w:r>
        <w:t>After production mutation, perform independent read-only verification.</w:t>
      </w:r>
    </w:p>
    <w:p>
      <w:pPr>
        <w:pStyle w:val="ListNumber"/>
      </w:pPr>
      <w:r>
        <w:t>Keep implementation maturity separate from production certification.</w:t>
      </w:r>
    </w:p>
    <w:p>
      <w:pPr>
        <w:pStyle w:val="Heading1"/>
      </w:pPr>
      <w:r>
        <w:t>25. Exact Next-Phase Sequence</w:t>
      </w:r>
    </w:p>
    <w:p>
      <w:r>
        <w:rPr>
          <w:rFonts w:ascii="Consolas" w:hAnsi="Consolas"/>
          <w:sz w:val="17"/>
        </w:rPr>
        <w:t>NOW</w:t>
        <w:br/>
        <w:t xml:space="preserve">  ↓</w:t>
        <w:br/>
        <w:t>Phase 14 Step 7 — Provider activation</w:t>
        <w:br/>
        <w:t xml:space="preserve">  ↓</w:t>
        <w:br/>
        <w:t>Step 8 — Email/SMS certification</w:t>
        <w:br/>
        <w:t xml:space="preserve">  ↓</w:t>
        <w:br/>
        <w:t>Step 9 — Realtime/calling E2E</w:t>
        <w:br/>
        <w:t xml:space="preserve">  ↓</w:t>
        <w:br/>
        <w:t>Step 10 — CCTV real infrastructure</w:t>
        <w:br/>
        <w:t xml:space="preserve">  ↓</w:t>
        <w:br/>
        <w:t>Step 11 — AI real provider + CCTV AI</w:t>
        <w:br/>
        <w:t xml:space="preserve">  ↓</w:t>
        <w:br/>
        <w:t>Step 12 — Observability certification</w:t>
        <w:br/>
        <w:t xml:space="preserve">  ↓</w:t>
        <w:br/>
        <w:t>Step 13 — DR restore/RPO/RTO</w:t>
        <w:br/>
        <w:t xml:space="preserve">  ↓</w:t>
        <w:br/>
        <w:t>Step 14 — Final-topology scale/load</w:t>
        <w:br/>
        <w:t xml:space="preserve">  ↓</w:t>
        <w:br/>
        <w:t>Step 15 — Critical-path release matrix</w:t>
        <w:br/>
        <w:t xml:space="preserve">  ↓</w:t>
        <w:br/>
        <w:t>Step 16 — Full deterministic verification</w:t>
        <w:br/>
        <w:t xml:space="preserve">  ↓</w:t>
        <w:br/>
        <w:t>Step 17 — Stabilization/release freeze</w:t>
        <w:br/>
        <w:t xml:space="preserve">  ↓</w:t>
        <w:br/>
        <w:t>Step 18 — Final integrated production certification</w:t>
        <w:br/>
        <w:t xml:space="preserve">  ↓</w:t>
        <w:br/>
        <w:t>Customer-isolated provisioning + handover</w:t>
      </w:r>
    </w:p>
    <w:p>
      <w:pPr>
        <w:pStyle w:val="Heading1"/>
      </w:pPr>
      <w:r>
        <w:t>26. Final Assessment — 15 September 2026</w:t>
      </w:r>
    </w:p>
    <w:p>
      <w:r>
        <w:t>The project is on the correct architectural path. The recent work materially strengthened the difference between “the code exists” and “the system has evidence.” The hosted deployment was tested as a hosted deployment; a real routing defect was found and corrected. Production database state was inspected before mutation. A dangerous migration ambiguity was discovered and handled without blindly deploying the wrong schema. The authorized security remediation was applied to the correct tenant database and verified at the catalog level.</w:t>
      </w:r>
    </w:p>
    <w:p>
      <w:r>
        <w:t>The project is not finished. The remaining work is concentrated less in basic architectural invention and more in completing real operational evidence: provider E2E, realtime/browser E2E, CCTV infrastructure, AI provider behavior, chaos/data-loss testing, DR, scale, repeatable provisioning and final certification. That is exactly the remaining gap identified by the project's current architecture and roadmap.</w:t>
      </w:r>
    </w:p>
    <w:p>
      <w:r>
        <w:t>The current best description is therefore: a substantially developed AI Security + Business CRM platform with a strong engineering/security foundation, a live controlled internal demo deployment, completed production database remediation for that deployment, and an active Phase 14 provider/operational certification program. It should not yet be called fully production-certified.</w:t>
      </w:r>
    </w:p>
    <w:p>
      <w:pPr>
        <w:pStyle w:val="Heading1"/>
      </w:pPr>
      <w:r>
        <w:t>27. Source Basis</w:t>
      </w:r>
    </w:p>
    <w:p>
      <w:r>
        <w:t>This document was prepared from the supplied “Updates From fresh roadmap till now and Future Plan”, “Project and Progress details till 12th September 2026”, “Goal”, “fresh Roadmap”, CRM master/current-state handovers, remaining roadmap/operating plan, credential-handling material, and the actual Phase 14 execution evidence from 13–15 September 2026.</w:t>
      </w:r>
    </w:p>
    <w:p>
      <w:r>
        <w:t>Where historical documents contained older percentages or older phase positions, later evidence has been treated as the current checkpoint. Where a real external provider or infrastructure has not been exercised, this document records it as unverified rather than converting architectural support into a certification claim.</w:t>
      </w:r>
    </w:p>
    <w:tbl>
      <w:tblPr>
        <w:tblStyle w:val="TableGrid"/>
        <w:tblW w:type="auto" w:w="0"/>
        <w:tblLook w:firstColumn="1" w:firstRow="1" w:lastColumn="0" w:lastRow="0" w:noHBand="0" w:noVBand="1" w:val="04A0"/>
      </w:tblPr>
      <w:tblGrid>
        <w:gridCol w:w="9936"/>
      </w:tblGrid>
      <w:tr>
        <w:tc>
          <w:tcPr>
            <w:tcW w:type="dxa" w:w="9936"/>
            <w:shd w:fill="FFF2CC"/>
          </w:tcPr>
          <w:p>
            <w:r>
              <w:rPr>
                <w:b/>
              </w:rPr>
              <w:t>Governing principle</w:t>
              <w:br/>
              <w:t>Evidence beats assumptions. Reconcile → prioritize genuine gaps → implement → adversarial test → verify integrations → certify operations → certify isolated customer provisioning → certify production → release.</w:t>
            </w:r>
          </w:p>
        </w:tc>
      </w:tr>
    </w:tbl>
    <w:p/>
    <w:p>
      <w:pPr>
        <w:pStyle w:val="Heading1"/>
      </w:pPr>
      <w:r>
        <w:t>28. Suggested Opening Context for the Next Development Chat</w:t>
      </w:r>
    </w:p>
    <w:p>
      <w:r>
        <w:rPr>
          <w:rFonts w:ascii="Consolas" w:hAnsi="Consolas"/>
          <w:sz w:val="17"/>
        </w:rPr>
        <w:t>Continue the AI Security + Business CRM project from:</w:t>
        <w:br/>
        <w:t>“Recent updates 01 - Date : 15th September 2026”.</w:t>
        <w:br/>
        <w:br/>
        <w:t>Current state:</w:t>
        <w:br/>
        <w:t>- Release candidate cb0f8c4</w:t>
        <w:br/>
        <w:t>- Existing crm-v01 Vercel deployment used for internal client demo</w:t>
        <w:br/>
        <w:t>- TENANT_DATABASE production target confirmed</w:t>
        <w:br/>
        <w:t>- Phase 14 Step 6 complete</w:t>
        <w:br/>
        <w:t>- Migration 20260914000000_rls_defect_remediation physically applied and verified</w:t>
        <w:br/>
        <w:t>- Prisma bookkeeping reconciled</w:t>
        <w:br/>
        <w:t>- 20260913000000_add_call_session is intentionally E2E-only and must never enter production</w:t>
        <w:br/>
        <w:t>- Current phase: Phase 14 Step 7 Provider Activation</w:t>
        <w:br/>
        <w:br/>
        <w:t>Rules:</w:t>
        <w:br/>
        <w:t>- Never expose secrets.</w:t>
        <w:br/>
        <w:t>- Never invent provider success.</w:t>
        <w:br/>
        <w:t>- Never run production migrations without explicit authorization.</w:t>
        <w:br/>
        <w:t>- Never use migrate deploy if it could include the E2E-only migration 130.</w:t>
        <w:br/>
        <w:t>- Use real-provider evidence where legitimate resources exist.</w:t>
        <w:br/>
        <w:t>- Missing providers must degrade explicitly.</w:t>
        <w:br/>
        <w:t>- Do not call the product fully production-certified until the complete evidence chain passes.</w:t>
      </w:r>
    </w:p>
    <w:p>
      <w:pPr>
        <w:pStyle w:val="Heading1"/>
      </w:pPr>
      <w:r>
        <w:t>29. Closing Checkpoint</w:t>
      </w:r>
    </w:p>
    <w:p>
      <w:r>
        <w:t>Checkpoint date: 15 September 2026.</w:t>
      </w:r>
    </w:p>
    <w:p>
      <w:r>
        <w:t>Completed in this update cycle: hosted rollout fixes, production database preflight, targeted migration 140 execution, schema verification, Prisma history reconciliation, migration deployment-path audit.</w:t>
      </w:r>
    </w:p>
    <w:p>
      <w:r>
        <w:t>Current gate: Phase 14 Step 7 — Controlled Provider Activation.</w:t>
      </w:r>
    </w:p>
    <w:p>
      <w:r>
        <w:t>Final product status: NOT YET FULLY PRODUCTION-CERTIFIED.</w:t>
      </w:r>
    </w:p>
    <w:p>
      <w:r>
        <w:t>Next strategic objective: prove real integrations and operations without sacrificing the security/evidence-first architecture.</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15 September 2026  |  Evidence-first project record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AI Security + Business CRM Platform  |  Recent Updates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