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Updates From fresh roadmap till now and Future Plan</w:t>
      </w:r>
    </w:p>
    <w:p>
      <w:pPr>
        <w:jc w:val="center"/>
      </w:pPr>
      <w:r>
        <w:rPr>
          <w:b/>
        </w:rPr>
        <w:t>AI Security + Business CRM Platform</w:t>
        <w:br/>
      </w:r>
      <w:r>
        <w:t>Consolidated post–Fresh Roadmap progress, current state, and forward execution plan</w:t>
        <w:br/>
      </w:r>
      <w:r>
        <w:rPr>
          <w:i/>
        </w:rPr>
        <w:t>Checkpoint: September 2026</w:t>
      </w:r>
    </w:p>
    <w:p>
      <w:pPr>
        <w:pStyle w:val="Heading1"/>
      </w:pPr>
      <w:r>
        <w:t>1. Document Purpose</w:t>
      </w:r>
    </w:p>
    <w:p>
      <w:r>
        <w:t>This document consolidates the project's evolution from the Fresh Roadmap checkpoint through the latest security-hardening work and records the future execution plan. It is designed as a durable handover/reference document so that future development chats do not lose architectural decisions, completed work, remaining gaps, or the evidence-versus-certification distinction.</w:t>
      </w:r>
    </w:p>
    <w:p>
      <w:r>
        <w:t>The supplied project records establish that the current product is an AI Security + Business CRM platform, not merely a CRM, and that the finish line is a secure, tenant-isolated, observable, recoverable, scalable and repeatably deployable platform. The Fresh Roadmap is the forward planning baseline; current repository behavior and reproducible tests remain authoritative for implementation claims.</w:t>
      </w:r>
    </w:p>
    <w:p>
      <w:pPr>
        <w:pStyle w:val="Heading1"/>
      </w:pPr>
      <w:r>
        <w:t>2. Product Vision and Permanent Architecture</w:t>
      </w:r>
    </w:p>
    <w:p>
      <w:r>
        <w:t>The project combines Business CRM, communication/telephony, CCTV/security operations, AI, realtime, workforce operations, reporting, enterprise controls, workers/queues, observability/DR and isolated company deployments. The original subscription/SaaS billing assumption was superseded.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Permanent direction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ONE CODEBASE → separate deployment/environment/infrastructure/credentials per company.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Application authorization + tenant context + PostgreSQL RLS; never rely on one layer alone.</w:t>
            </w:r>
          </w:p>
        </w:tc>
      </w:tr>
      <w:tr>
        <w:tc>
          <w:tcPr>
            <w:tcW w:type="dxa" w:w="5112"/>
          </w:tcPr>
          <w:p>
            <w:r>
              <w:t>Database roles</w:t>
            </w:r>
          </w:p>
        </w:tc>
        <w:tc>
          <w:tcPr>
            <w:tcW w:type="dxa" w:w="5112"/>
          </w:tcPr>
          <w:p>
            <w:r>
              <w:t>crm_app_user is NOBYPASSRLS; crm_system_user is BYPASSRLS; neither owns application tables.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Real provider abstraction, controlled tools, application-side authorization, safe degradation and audited tool actions.</w:t>
            </w:r>
          </w:p>
        </w:tc>
      </w:tr>
      <w:tr>
        <w:tc>
          <w:tcPr>
            <w:tcW w:type="dxa" w:w="5112"/>
          </w:tcPr>
          <w:p>
            <w:r>
              <w:t>Realtime</w:t>
            </w:r>
          </w:p>
        </w:tc>
        <w:tc>
          <w:tcPr>
            <w:tcW w:type="dxa" w:w="5112"/>
          </w:tcPr>
          <w:p>
            <w:r>
              <w:t>Managed provider abstraction, CallSession, server-relayed WebRTC signaling and tenant/channel authorization.</w:t>
            </w:r>
          </w:p>
        </w:tc>
      </w:tr>
      <w:tr>
        <w:tc>
          <w:tcPr>
            <w:tcW w:type="dxa" w:w="5112"/>
          </w:tcPr>
          <w:p>
            <w:r>
              <w:t>CCTV</w:t>
            </w:r>
          </w:p>
        </w:tc>
        <w:tc>
          <w:tcPr>
            <w:tcW w:type="dxa" w:w="5112"/>
          </w:tcPr>
          <w:p>
            <w:r>
              <w:t>MediaMTX + persistent external worker + object storage; no persistent CCTV processing in Vercel routes.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S3-compatible storage with signed access and verified durable-storage semantics.</w:t>
            </w:r>
          </w:p>
        </w:tc>
      </w:tr>
      <w:tr>
        <w:tc>
          <w:tcPr>
            <w:tcW w:type="dxa" w:w="5112"/>
          </w:tcPr>
          <w:p>
            <w:r>
              <w:t>Commercial model</w:t>
            </w:r>
          </w:p>
        </w:tc>
        <w:tc>
          <w:tcPr>
            <w:tcW w:type="dxa" w:w="5112"/>
          </w:tcPr>
          <w:p>
            <w:r>
              <w:t>No platform subscription/payment checkout in the current architecture; products, pricing, quotes, approvals and business revenue remain.</w:t>
            </w:r>
          </w:p>
        </w:tc>
      </w:tr>
    </w:tbl>
    <w:p>
      <w:r>
        <w:t>The Goal document makes provider portability explicit: client infrastructure and credentials should configure an isolated deployment through provider contracts/adapters rather than force a rewrite of CRM business logic. Credentials alone do not make an unsupported provider compatible.</w:t>
      </w:r>
    </w:p>
    <w:p>
      <w:pPr>
        <w:pStyle w:val="Heading1"/>
      </w:pPr>
      <w:r>
        <w:t>3. Position at the Fresh Roadmap Baseline</w:t>
      </w:r>
    </w:p>
    <w:p>
      <w:r>
        <w:t>The Fresh Roadmap was created after substantial stabilization and architectural correction. It explicitly said not to rebuild completed foundations and identified real external E2E and operational evidence as remaining gaps.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Fresh Roadmap position</w:t>
            </w:r>
          </w:p>
        </w:tc>
      </w:tr>
      <w:tr>
        <w:tc>
          <w:tcPr>
            <w:tcW w:type="dxa" w:w="5112"/>
          </w:tcPr>
          <w:p>
            <w:r>
              <w:t>Core architecture/security</w:t>
            </w:r>
          </w:p>
        </w:tc>
        <w:tc>
          <w:tcPr>
            <w:tcW w:type="dxa" w:w="5112"/>
          </w:tcPr>
          <w:p>
            <w:r>
              <w:t>Strong foundation; tenant/RLS/RBAC and deployment boundaries established.</w:t>
            </w:r>
          </w:p>
        </w:tc>
      </w:tr>
      <w:tr>
        <w:tc>
          <w:tcPr>
            <w:tcW w:type="dxa" w:w="5112"/>
          </w:tcPr>
          <w:p>
            <w:r>
              <w:t>Core CRM</w:t>
            </w:r>
          </w:p>
        </w:tc>
        <w:tc>
          <w:tcPr>
            <w:tcW w:type="dxa" w:w="5112"/>
          </w:tcPr>
          <w:p>
            <w:r>
              <w:t>Substantially complete; Customer/Contact/Lead/Pipeline/Deal/Task lifecycle already present.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Substantial product foundation; quotes/approvals/revenue remained to be finalized.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Substantial implementation; provider and realtime certification remained.</w:t>
            </w:r>
          </w:p>
        </w:tc>
      </w:tr>
      <w:tr>
        <w:tc>
          <w:tcPr>
            <w:tcW w:type="dxa" w:w="5112"/>
          </w:tcPr>
          <w:p>
            <w:r>
              <w:t>Realtime/calling</w:t>
            </w:r>
          </w:p>
        </w:tc>
        <w:tc>
          <w:tcPr>
            <w:tcW w:type="dxa" w:w="5112"/>
          </w:tcPr>
          <w:p>
            <w:r>
              <w:t>CallSession/WebRTC foundation present; real Pusher/browser E2E remained.</w:t>
            </w:r>
          </w:p>
        </w:tc>
      </w:tr>
      <w:tr>
        <w:tc>
          <w:tcPr>
            <w:tcW w:type="dxa" w:w="5112"/>
          </w:tcPr>
          <w:p>
            <w:r>
              <w:t>CCTV</w:t>
            </w:r>
          </w:p>
        </w:tc>
        <w:tc>
          <w:tcPr>
            <w:tcW w:type="dxa" w:w="5112"/>
          </w:tcPr>
          <w:p>
            <w:r>
              <w:t>R01–R09 security foundation substantial; real MediaMTX/RTSP/storage E2E remained.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Provider/tool/security foundation present; real provider and full product behavior remained.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Substantial foundations; final commercial/reporting behavior remained.</w:t>
            </w:r>
          </w:p>
        </w:tc>
      </w:tr>
      <w:tr>
        <w:tc>
          <w:tcPr>
            <w:tcW w:type="dxa" w:w="5112"/>
          </w:tcPr>
          <w:p>
            <w:r>
              <w:t>Workers</w:t>
            </w:r>
          </w:p>
        </w:tc>
        <w:tc>
          <w:tcPr>
            <w:tcW w:type="dxa" w:w="5112"/>
          </w:tcPr>
          <w:p>
            <w:r>
              <w:t>Architecture substantially established; chaos/data-loss proof remained.</w:t>
            </w:r>
          </w:p>
        </w:tc>
      </w:tr>
      <w:tr>
        <w:tc>
          <w:tcPr>
            <w:tcW w:type="dxa" w:w="5112"/>
          </w:tcPr>
          <w:p>
            <w:r>
              <w:t>Observability/DR/scale/provisioning</w:t>
            </w:r>
          </w:p>
        </w:tc>
        <w:tc>
          <w:tcPr>
            <w:tcW w:type="dxa" w:w="5112"/>
          </w:tcPr>
          <w:p>
            <w:r>
              <w:t>Not yet fully certified.</w:t>
            </w:r>
          </w:p>
        </w:tc>
      </w:tr>
      <w:tr>
        <w:tc>
          <w:tcPr>
            <w:tcW w:type="dxa" w:w="5112"/>
          </w:tcPr>
          <w:p>
            <w:r>
              <w:t>Production certification</w:t>
            </w:r>
          </w:p>
        </w:tc>
        <w:tc>
          <w:tcPr>
            <w:tcW w:type="dxa" w:w="5112"/>
          </w:tcPr>
          <w:p>
            <w:r>
              <w:t>Not complete.</w:t>
            </w:r>
          </w:p>
        </w:tc>
      </w:tr>
    </w:tbl>
    <w:p>
      <w:pPr>
        <w:pStyle w:val="Heading1"/>
      </w:pPr>
      <w:r>
        <w:t>4. What We Did After the Fresh Roadmap</w:t>
      </w:r>
    </w:p>
    <w:p>
      <w:pPr>
        <w:pStyle w:val="Heading2"/>
      </w:pPr>
      <w:r>
        <w:t>4.1 Phase 6 — Revenue / Quotes / Approvals</w:t>
      </w:r>
    </w:p>
    <w:p>
      <w:r>
        <w:t>The next major product phase focused on the business quote-to-cash loop while respecting the decision that platform subscription billing is deprecated.</w:t>
      </w:r>
    </w:p>
    <w:p>
      <w:pPr>
        <w:pStyle w:val="ListBullet"/>
      </w:pPr>
      <w:r>
        <w:t>Audited the existing Product, PriceBook, DiscountRule, Quote, QuoteLineItem, QuoteVersion, ApprovalRequest and ApprovalStep architecture.</w:t>
      </w:r>
    </w:p>
    <w:p>
      <w:pPr>
        <w:pStyle w:val="ListBullet"/>
      </w:pPr>
      <w:r>
        <w:t>Corrected quote creation so the Deal and Customer relationship is validated rather than trusting independently supplied identifiers.</w:t>
      </w:r>
    </w:p>
    <w:p>
      <w:pPr>
        <w:pStyle w:val="ListBullet"/>
      </w:pPr>
      <w:r>
        <w:t>Added protection against self-approval.</w:t>
      </w:r>
    </w:p>
    <w:p>
      <w:pPr>
        <w:pStyle w:val="ListBullet"/>
      </w:pPr>
      <w:r>
        <w:t>Integrated EventOutbox into quote lifecycle transactions so state changes and durable events remain aligned.</w:t>
      </w:r>
    </w:p>
    <w:p>
      <w:pPr>
        <w:pStyle w:val="ListBullet"/>
      </w:pPr>
      <w:r>
        <w:t>Implemented real PDF generation instead of fake/base64 document behavior.</w:t>
      </w:r>
    </w:p>
    <w:p>
      <w:pPr>
        <w:pStyle w:val="ListBullet"/>
      </w:pPr>
      <w:r>
        <w:t>Added an authorized quote download endpoint.</w:t>
      </w:r>
    </w:p>
    <w:p>
      <w:pPr>
        <w:pStyle w:val="ListBullet"/>
      </w:pPr>
      <w:r>
        <w:t>Implemented quote revision/version behavior using immutable commercial snapshots.</w:t>
      </w:r>
    </w:p>
    <w:p>
      <w:pPr>
        <w:pStyle w:val="ListBullet"/>
      </w:pPr>
      <w:r>
        <w:t>Preserved Decimal(19,4) commercial money, HALF_UP rounding and two-decimal display; AI provider cost remains Decimal(19,8). Deal.value was intentionally not converted.</w:t>
      </w:r>
    </w:p>
    <w:p>
      <w:pPr>
        <w:pStyle w:val="ListBullet"/>
      </w:pPr>
      <w:r>
        <w:t>Expanded revenue security testing during remediation to roughly 40 distinct scenarios.</w:t>
      </w:r>
    </w:p>
    <w:p>
      <w:pPr>
        <w:pStyle w:val="ListBullet"/>
      </w:pPr>
      <w:r>
        <w:t>Kept Stripe/Razorpay platform subscription checkout outside the current architecture.</w:t>
      </w:r>
    </w:p>
    <w:p>
      <w:r>
        <w:t>Result: Phase 6 was accepted at repository/security level. External production/provider certification remains a later evidence gate.</w:t>
      </w:r>
    </w:p>
    <w:p>
      <w:pPr>
        <w:pStyle w:val="Heading2"/>
      </w:pPr>
      <w:r>
        <w:t>4.2 Phase 7 — Reporting / Analytics Finalization</w:t>
      </w:r>
    </w:p>
    <w:p>
      <w:r>
        <w:t>Reporting was reconciled against the current commercial model. A critical correction was made: accepted quotes are not subscriptions, so Quote.grandTotal was not misrepresented as MRR/ARR.</w:t>
      </w:r>
    </w:p>
    <w:p>
      <w:pPr>
        <w:pStyle w:val="ListBullet"/>
      </w:pPr>
      <w:r>
        <w:t>Implemented commercial reporting from authoritative Quote data.</w:t>
      </w:r>
    </w:p>
    <w:p>
      <w:pPr>
        <w:pStyle w:val="ListBullet"/>
      </w:pPr>
      <w:r>
        <w:t>Used Quote.createdAt for date-bounded reporting where authoritative transition timestamps were not present, rather than inventing acceptance/approval timestamps.</w:t>
      </w:r>
    </w:p>
    <w:p>
      <w:pPr>
        <w:pStyle w:val="ListBullet"/>
      </w:pPr>
      <w:r>
        <w:t>Replaced the misleading 'Revenue Operations' dashboard concept with 'Commercial Operations'.</w:t>
      </w:r>
    </w:p>
    <w:p>
      <w:pPr>
        <w:pStyle w:val="ListBullet"/>
      </w:pPr>
      <w:r>
        <w:t>Removed fake MRR/ARR/subscription expectations because platform recurring billing is not part of the current model.</w:t>
      </w:r>
    </w:p>
    <w:p>
      <w:pPr>
        <w:pStyle w:val="ListBullet"/>
      </w:pPr>
      <w:r>
        <w:t>Added bounded quote-revenue CSV export.</w:t>
      </w:r>
    </w:p>
    <w:p>
      <w:pPr>
        <w:pStyle w:val="ListBullet"/>
      </w:pPr>
      <w:r>
        <w:t>Preserved server-side date validation, tenant scoping, RBAC and drill-down authorization.</w:t>
      </w:r>
    </w:p>
    <w:p>
      <w:pPr>
        <w:pStyle w:val="ListBullet"/>
      </w:pPr>
      <w:r>
        <w:t>Kept quote history stable through quote snapshots rather than current Product/PriceBook prices.</w:t>
      </w:r>
    </w:p>
    <w:p>
      <w:pPr>
        <w:pStyle w:val="ListBullet"/>
      </w:pPr>
      <w:r>
        <w:t>Expanded reporting security checks for cross-tenant access, forged tenant identifiers, unauthorized exports and IDOR.</w:t>
      </w:r>
    </w:p>
    <w:p>
      <w:r>
        <w:t>Result: Phase 7 accepted at repository/security level, with realistic large-data and production deployment evidence still part of later certification.</w:t>
      </w:r>
    </w:p>
    <w:p>
      <w:pPr>
        <w:pStyle w:val="Heading2"/>
      </w:pPr>
      <w:r>
        <w:t>4.3 Phase 8 — Notifications / Workflow / Background Processing</w:t>
      </w:r>
    </w:p>
    <w:p>
      <w:r>
        <w:t>Phase 8 consolidated background notification processing around the existing durable EventOutbox → Inngest architecture rather than introducing a second queue.</w:t>
      </w:r>
    </w:p>
    <w:p>
      <w:pPr>
        <w:pStyle w:val="ListBullet"/>
      </w:pPr>
      <w:r>
        <w:t>Moved task/lead/workflow notification triggering into durable EventOutbox-based processing.</w:t>
      </w:r>
    </w:p>
    <w:p>
      <w:pPr>
        <w:pStyle w:val="ListBullet"/>
      </w:pPr>
      <w:r>
        <w:t>Added explicit notification and workflow routing in the outbox worker.</w:t>
      </w:r>
    </w:p>
    <w:p>
      <w:pPr>
        <w:pStyle w:val="ListBullet"/>
      </w:pPr>
      <w:r>
        <w:t>Implemented a notification worker that persists durable Notification state before best-effort realtime delivery.</w:t>
      </w:r>
    </w:p>
    <w:p>
      <w:pPr>
        <w:pStyle w:val="ListBullet"/>
      </w:pPr>
      <w:r>
        <w:t>Added Notification Center and notification APIs.</w:t>
      </w:r>
    </w:p>
    <w:p>
      <w:pPr>
        <w:pStyle w:val="ListBullet"/>
      </w:pPr>
      <w:r>
        <w:t>Removed the obsolete notification.handlers path.</w:t>
      </w:r>
    </w:p>
    <w:p>
      <w:pPr>
        <w:pStyle w:val="ListBullet"/>
      </w:pPr>
      <w:r>
        <w:t>Removed a residual task.assigned EventBus producer that would have created a competing delivery path.</w:t>
      </w:r>
    </w:p>
    <w:p>
      <w:pPr>
        <w:pStyle w:val="ListBullet"/>
      </w:pPr>
      <w:r>
        <w:t>Used EventOutbox/IdempotencyKey identity for notification idempotency, with database uniqueness handling duplicates.</w:t>
      </w:r>
    </w:p>
    <w:p>
      <w:pPr>
        <w:pStyle w:val="ListBullet"/>
      </w:pPr>
      <w:r>
        <w:t>Separated durable DB persistence from realtime publication so realtime failure does not destroy the durable notification.</w:t>
      </w:r>
    </w:p>
    <w:p>
      <w:pPr>
        <w:pStyle w:val="ListBullet"/>
      </w:pPr>
      <w:r>
        <w:t>Added recipient tenant-membership verification.</w:t>
      </w:r>
    </w:p>
    <w:p>
      <w:pPr>
        <w:pStyle w:val="ListBullet"/>
      </w:pPr>
      <w:r>
        <w:t>Verified workflow execution semantics and a 38-scenario workflow execution suite.</w:t>
      </w:r>
    </w:p>
    <w:p>
      <w:r>
        <w:t>Result: Phase 8 accepted at repository/security/architecture level; external realtime certification remains infrastructure-dependent.</w:t>
      </w:r>
    </w:p>
    <w:p>
      <w:pPr>
        <w:pStyle w:val="Heading2"/>
      </w:pPr>
      <w:r>
        <w:t>4.4 Phase 9 — Enterprise Security Hardening</w:t>
      </w:r>
    </w:p>
    <w:p>
      <w:pPr>
        <w:pStyle w:val="Heading3"/>
      </w:pPr>
      <w:r>
        <w:t>Step 1 — High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Remediation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t>G1 Scheduler secret</w:t>
            </w:r>
          </w:p>
        </w:tc>
        <w:tc>
          <w:tcPr>
            <w:tcW w:type="dxa" w:w="3408"/>
          </w:tcPr>
          <w:p>
            <w:r>
              <w:t>Removed insecure default; missing secret fails closed with 503 while HMAC/replay protection remains.</w:t>
            </w:r>
          </w:p>
        </w:tc>
        <w:tc>
          <w:tcPr>
            <w:tcW w:type="dxa" w:w="3408"/>
          </w:tcPr>
          <w:p>
            <w:r>
              <w:t>19-test G1/G2 verification set; targeted TS/lint passed.</w:t>
            </w:r>
          </w:p>
        </w:tc>
      </w:tr>
      <w:tr>
        <w:tc>
          <w:tcPr>
            <w:tcW w:type="dxa" w:w="3408"/>
          </w:tcPr>
          <w:p>
            <w:r>
              <w:t>G2 Clerk configuration</w:t>
            </w:r>
          </w:p>
        </w:tc>
        <w:tc>
          <w:tcPr>
            <w:tcW w:type="dxa" w:w="3408"/>
          </w:tcPr>
          <w:p>
            <w:r>
              <w:t>Missing/malformed Clerk configuration fails closed for protected routes; explicitly public infrastructure routes remain available.</w:t>
            </w:r>
          </w:p>
        </w:tc>
        <w:tc>
          <w:tcPr>
            <w:tcW w:type="dxa" w:w="3408"/>
          </w:tcPr>
          <w:p>
            <w:r>
              <w:t>19-test G1/G2 verification set; protected/public cases covered.</w:t>
            </w:r>
          </w:p>
        </w:tc>
      </w:tr>
    </w:tbl>
    <w:p>
      <w:pPr>
        <w:pStyle w:val="Heading3"/>
      </w:pPr>
      <w:r>
        <w:t>Step 2 — Medium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t>G3 Notification limit</w:t>
            </w:r>
          </w:p>
        </w:tc>
        <w:tc>
          <w:tcPr>
            <w:tcW w:type="dxa" w:w="5112"/>
          </w:tcPr>
          <w:p>
            <w:r>
              <w:t>Strictly bounded/validated; invalid and excessive values return 400.</w:t>
            </w:r>
          </w:p>
        </w:tc>
      </w:tr>
      <w:tr>
        <w:tc>
          <w:tcPr>
            <w:tcW w:type="dxa" w:w="5112"/>
          </w:tcPr>
          <w:p>
            <w:r>
              <w:t>G4 Pusher channels</w:t>
            </w:r>
          </w:p>
        </w:tc>
        <w:tc>
          <w:tcPr>
            <w:tcW w:type="dxa" w:w="5112"/>
          </w:tcPr>
          <w:p>
            <w:r>
              <w:t>Weak substring matching replaced with exact structural channel validation.</w:t>
            </w:r>
          </w:p>
        </w:tc>
      </w:tr>
      <w:tr>
        <w:tc>
          <w:tcPr>
            <w:tcW w:type="dxa" w:w="5112"/>
          </w:tcPr>
          <w:p>
            <w:r>
              <w:t>G5 executeAsSystem logging</w:t>
            </w:r>
          </w:p>
        </w:tc>
        <w:tc>
          <w:tcPr>
            <w:tcW w:type="dxa" w:w="5112"/>
          </w:tcPr>
          <w:p>
            <w:r>
              <w:t>Raw context serialization removed; categorical metadata goes through enterprise Logger.</w:t>
            </w:r>
          </w:p>
        </w:tc>
      </w:tr>
      <w:tr>
        <w:tc>
          <w:tcPr>
            <w:tcW w:type="dxa" w:w="5112"/>
          </w:tcPr>
          <w:p>
            <w:r>
              <w:t>G6 Notification logging</w:t>
            </w:r>
          </w:p>
        </w:tc>
        <w:tc>
          <w:tcPr>
            <w:tcW w:type="dxa" w:w="5112"/>
          </w:tcPr>
          <w:p>
            <w:r>
              <w:t>Direct console error logging replaced with enterprise Logger.</w:t>
            </w:r>
          </w:p>
        </w:tc>
      </w:tr>
      <w:tr>
        <w:tc>
          <w:tcPr>
            <w:tcW w:type="dxa" w:w="5112"/>
          </w:tcPr>
          <w:p>
            <w:r>
              <w:t>G7 Export rate limiting</w:t>
            </w:r>
          </w:p>
        </w:tc>
        <w:tc>
          <w:tcPr>
            <w:tcW w:type="dxa" w:w="5112"/>
          </w:tcPr>
          <w:p>
            <w:r>
              <w:t>Dedicated bounded fail-closed tenant/user-scoped limiter added.</w:t>
            </w:r>
          </w:p>
        </w:tc>
      </w:tr>
      <w:tr>
        <w:tc>
          <w:tcPr>
            <w:tcW w:type="dxa" w:w="5112"/>
          </w:tcPr>
          <w:p>
            <w:r>
              <w:t>G9 Notification security</w:t>
            </w:r>
          </w:p>
        </w:tc>
        <w:tc>
          <w:tcPr>
            <w:tcW w:type="dxa" w:w="5112"/>
          </w:tcPr>
          <w:p>
            <w:r>
              <w:t>N1–N16 evidence matrix established using new tests plus existing architecture/tests.</w:t>
            </w:r>
          </w:p>
        </w:tc>
      </w:tr>
      <w:tr>
        <w:tc>
          <w:tcPr>
            <w:tcW w:type="dxa" w:w="5112"/>
          </w:tcPr>
          <w:p>
            <w:r>
              <w:t>G10 AI CRM-data boundary</w:t>
            </w:r>
          </w:p>
        </w:tc>
        <w:tc>
          <w:tcPr>
            <w:tcW w:type="dxa" w:w="5112"/>
          </w:tcPr>
          <w:p>
            <w:r>
              <w:t>&lt;crm_data&gt; structural boundary added; application-side authorization remains the real privilege boundary.</w:t>
            </w:r>
          </w:p>
        </w:tc>
      </w:tr>
      <w:tr>
        <w:tc>
          <w:tcPr>
            <w:tcW w:type="dxa" w:w="5112"/>
          </w:tcPr>
          <w:p>
            <w:r>
              <w:t>G11 Dependencies</w:t>
            </w:r>
          </w:p>
        </w:tc>
        <w:tc>
          <w:tcPr>
            <w:tcW w:type="dxa" w:w="5112"/>
          </w:tcPr>
          <w:p>
            <w:r>
              <w:t>Next.js patched to 16.3.5; reported Critical Next.js advisories removed; remaining advisories explicitly triaged.</w:t>
            </w:r>
          </w:p>
        </w:tc>
      </w:tr>
    </w:tbl>
    <w:p>
      <w:r>
        <w:t>Latest Step 2 verification reported 32 tests across the G3/G4/G5/G7/G9/G10 targeted suites, with TypeScript and ESLint passing. The final report explicitly avoids claiming that AI delimiters alone solve prompt injection.</w:t>
      </w:r>
    </w:p>
    <w:p>
      <w:pPr>
        <w:pStyle w:val="Heading1"/>
      </w:pPr>
      <w:r>
        <w:t>5. Important Security Lessons That Changed the Product</w:t>
      </w:r>
    </w:p>
    <w:p>
      <w:pPr>
        <w:pStyle w:val="ListBullet"/>
      </w:pPr>
      <w:r>
        <w:t>Tenant isolation cannot depend only on Prisma where clauses; PostgreSQL RLS and application authorization are defense-in-depth layers.</w:t>
      </w:r>
    </w:p>
    <w:p>
      <w:pPr>
        <w:pStyle w:val="ListBullet"/>
      </w:pPr>
      <w:r>
        <w:t>Serverless request handlers cannot safely act as persistent CCTV filesystem workers or long-lived daemons.</w:t>
      </w:r>
    </w:p>
    <w:p>
      <w:pPr>
        <w:pStyle w:val="ListBullet"/>
      </w:pPr>
      <w:r>
        <w:t>Recording data must follow Upload → verify object/integrity → durable DB state → delete local source only after success.</w:t>
      </w:r>
    </w:p>
    <w:p>
      <w:pPr>
        <w:pStyle w:val="ListBullet"/>
      </w:pPr>
      <w:r>
        <w:t>Workers require node affinity, leases, fencing, stale-write rejection and controlled recovery.</w:t>
      </w:r>
    </w:p>
    <w:p>
      <w:pPr>
        <w:pStyle w:val="ListBullet"/>
      </w:pPr>
      <w:r>
        <w:t>Webhook authenticity requires cryptographic verification, replay protection and durable idempotency.</w:t>
      </w:r>
    </w:p>
    <w:p>
      <w:pPr>
        <w:pStyle w:val="ListBullet"/>
      </w:pPr>
      <w:r>
        <w:t>Optional providers must degrade explicitly; missing credentials must never create fake success.</w:t>
      </w:r>
    </w:p>
    <w:p>
      <w:pPr>
        <w:pStyle w:val="ListBullet"/>
      </w:pPr>
      <w:r>
        <w:t>External provider idempotency must not be claimed merely because the CRM has an internal idempotency key.</w:t>
      </w:r>
    </w:p>
    <w:p>
      <w:pPr>
        <w:pStyle w:val="ListBullet"/>
      </w:pPr>
      <w:r>
        <w:t>AI must never receive unrestricted database access; tool authorization belongs to the application.</w:t>
      </w:r>
    </w:p>
    <w:p>
      <w:pPr>
        <w:pStyle w:val="ListBullet"/>
      </w:pPr>
      <w:r>
        <w:t>Production deployment success is not equivalent to production certification.</w:t>
      </w:r>
    </w:p>
    <w:p>
      <w:pPr>
        <w:pStyle w:val="ListBullet"/>
      </w:pPr>
      <w:r>
        <w:t>Historical migration evidence must be reconciled rather than discarded merely to make a migration command look clean.</w:t>
      </w:r>
    </w:p>
    <w:p>
      <w:pPr>
        <w:pStyle w:val="Heading1"/>
      </w:pPr>
      <w:r>
        <w:t>6. Current State After Phase 9 Step 2</w:t>
      </w:r>
    </w:p>
    <w:p>
      <w:r>
        <w:t>The current planning estimate is approximately 65–70% of the final product, with a best single-number estimate around 67%. Core engineering/platform foundation is approximately 80–85%. Fully production-certified maturity is approximately 35–45%. These figures are directional planning estimates, not KPIs.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Current view</w:t>
            </w:r>
          </w:p>
        </w:tc>
      </w:tr>
      <w:tr>
        <w:tc>
          <w:tcPr>
            <w:tcW w:type="dxa" w:w="5112"/>
          </w:tcPr>
          <w:p>
            <w:r>
              <w:t>Core architecture/security</w:t>
            </w:r>
          </w:p>
        </w:tc>
        <w:tc>
          <w:tcPr>
            <w:tcW w:type="dxa" w:w="5112"/>
          </w:tcPr>
          <w:p>
            <w:r>
              <w:t>~80–85%; mature foundation, with final certification still required.</w:t>
            </w:r>
          </w:p>
        </w:tc>
      </w:tr>
      <w:tr>
        <w:tc>
          <w:tcPr>
            <w:tcW w:type="dxa" w:w="5112"/>
          </w:tcPr>
          <w:p>
            <w:r>
              <w:t>Core CRM</w:t>
            </w:r>
          </w:p>
        </w:tc>
        <w:tc>
          <w:tcPr>
            <w:tcW w:type="dxa" w:w="5112"/>
          </w:tcPr>
          <w:p>
            <w:r>
              <w:t>~85–95%; substantially complete, with remaining operational UX/integration evidence.</w:t>
            </w:r>
          </w:p>
        </w:tc>
      </w:tr>
      <w:tr>
        <w:tc>
          <w:tcPr>
            <w:tcW w:type="dxa" w:w="5112"/>
          </w:tcPr>
          <w:p>
            <w:r>
              <w:t>Revenue foundation</w:t>
            </w:r>
          </w:p>
        </w:tc>
        <w:tc>
          <w:tcPr>
            <w:tcW w:type="dxa" w:w="5112"/>
          </w:tcPr>
          <w:p>
            <w:r>
              <w:t>~80–90%; quotes/approvals substantially implemented.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~70–80%; substantial implementation, real-provider certification remaining.</w:t>
            </w:r>
          </w:p>
        </w:tc>
      </w:tr>
      <w:tr>
        <w:tc>
          <w:tcPr>
            <w:tcW w:type="dxa" w:w="5112"/>
          </w:tcPr>
          <w:p>
            <w:r>
              <w:t>Realtime/internal calling</w:t>
            </w:r>
          </w:p>
        </w:tc>
        <w:tc>
          <w:tcPr>
            <w:tcW w:type="dxa" w:w="5112"/>
          </w:tcPr>
          <w:p>
            <w:r>
              <w:t>~70–80%; architecture/security substantial, real two-browser E2E remaining.</w:t>
            </w:r>
          </w:p>
        </w:tc>
      </w:tr>
      <w:tr>
        <w:tc>
          <w:tcPr>
            <w:tcW w:type="dxa" w:w="5112"/>
          </w:tcPr>
          <w:p>
            <w:r>
              <w:t>CCTV core</w:t>
            </w:r>
          </w:p>
        </w:tc>
        <w:tc>
          <w:tcPr>
            <w:tcW w:type="dxa" w:w="5112"/>
          </w:tcPr>
          <w:p>
            <w:r>
              <w:t>~85–90% code/security foundation; real operational infrastructure E2E remains.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~50–60% structurally; provider/product E2E and further intelligence remain.</w:t>
            </w:r>
          </w:p>
        </w:tc>
      </w:tr>
      <w:tr>
        <w:tc>
          <w:tcPr>
            <w:tcW w:type="dxa" w:w="5112"/>
          </w:tcPr>
          <w:p>
            <w:r>
              <w:t>Workforce/organization</w:t>
            </w:r>
          </w:p>
        </w:tc>
        <w:tc>
          <w:tcPr>
            <w:tcW w:type="dxa" w:w="5112"/>
          </w:tcPr>
          <w:p>
            <w:r>
              <w:t>~85–90% foundation; complete onboarding/operational integration remains.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~70–80%; further large-data and production evidence remains.</w:t>
            </w:r>
          </w:p>
        </w:tc>
      </w:tr>
      <w:tr>
        <w:tc>
          <w:tcPr>
            <w:tcW w:type="dxa" w:w="5112"/>
          </w:tcPr>
          <w:p>
            <w:r>
              <w:t>Workers/operations</w:t>
            </w:r>
          </w:p>
        </w:tc>
        <w:tc>
          <w:tcPr>
            <w:tcW w:type="dxa" w:w="5112"/>
          </w:tcPr>
          <w:p>
            <w:r>
              <w:t>~70–80%; chaos/operational certification remains.</w:t>
            </w:r>
          </w:p>
        </w:tc>
      </w:tr>
      <w:tr>
        <w:tc>
          <w:tcPr>
            <w:tcW w:type="dxa" w:w="5112"/>
          </w:tcPr>
          <w:p>
            <w:r>
              <w:t>DR</w:t>
            </w:r>
          </w:p>
        </w:tc>
        <w:tc>
          <w:tcPr>
            <w:tcW w:type="dxa" w:w="5112"/>
          </w:tcPr>
          <w:p>
            <w:r>
              <w:t>~70–80%; restore/RPO/RTO operational drills remain.</w:t>
            </w:r>
          </w:p>
        </w:tc>
      </w:tr>
      <w:tr>
        <w:tc>
          <w:tcPr>
            <w:tcW w:type="dxa" w:w="5112"/>
          </w:tcPr>
          <w:p>
            <w:r>
              <w:t>Scale/load certification</w:t>
            </w:r>
          </w:p>
        </w:tc>
        <w:tc>
          <w:tcPr>
            <w:tcW w:type="dxa" w:w="5112"/>
          </w:tcPr>
          <w:p>
            <w:r>
              <w:t>~50–60%; real load evidence remains.</w:t>
            </w:r>
          </w:p>
        </w:tc>
      </w:tr>
      <w:tr>
        <w:tc>
          <w:tcPr>
            <w:tcW w:type="dxa" w:w="5112"/>
          </w:tcPr>
          <w:p>
            <w:r>
              <w:t>Client provisioning</w:t>
            </w:r>
          </w:p>
        </w:tc>
        <w:tc>
          <w:tcPr>
            <w:tcW w:type="dxa" w:w="5112"/>
          </w:tcPr>
          <w:p>
            <w:r>
              <w:t>~60–70%; repeatability and target-infrastructure certification remain.</w:t>
            </w:r>
          </w:p>
        </w:tc>
      </w:tr>
      <w:tr>
        <w:tc>
          <w:tcPr>
            <w:tcW w:type="dxa" w:w="5112"/>
          </w:tcPr>
          <w:p>
            <w:r>
              <w:t>Final production certification</w:t>
            </w:r>
          </w:p>
        </w:tc>
        <w:tc>
          <w:tcPr>
            <w:tcW w:type="dxa" w:w="5112"/>
          </w:tcPr>
          <w:p>
            <w:r>
              <w:t>~35–45%; requires the complete operational evidence chain.</w:t>
            </w:r>
          </w:p>
        </w:tc>
      </w:tr>
    </w:tbl>
    <w:p>
      <w:r>
        <w:t>The Goal document specifically explains why the production-certification estimate is lower than product implementation: real-provider E2E, operational drills, scale evidence and client provisioning cannot honestly be simulated when infrastructure or credentials are unavailable.</w:t>
      </w:r>
    </w:p>
    <w:p>
      <w:pPr>
        <w:pStyle w:val="Heading1"/>
      </w:pPr>
      <w:r>
        <w:t>7. Current External Blockers and Credential Policy</w:t>
      </w:r>
    </w:p>
    <w:p>
      <w:r>
        <w:t>Missing external credentials are treated as integration blockers, not excuses to fabricate behavior. The credential policy distinguishes core security infrastructure from optional provider integrations.</w:t>
      </w:r>
    </w:p>
    <w:p>
      <w:pPr>
        <w:pStyle w:val="ListBullet"/>
      </w:pPr>
      <w:r>
        <w:t>Real credentials must be used only in their intended deployment/secret store.</w:t>
      </w:r>
    </w:p>
    <w:p>
      <w:pPr>
        <w:pStyle w:val="ListBullet"/>
      </w:pPr>
      <w:r>
        <w:t>Never print, paste, commit or document secret values.</w:t>
      </w:r>
    </w:p>
    <w:p>
      <w:pPr>
        <w:pStyle w:val="ListBullet"/>
      </w:pPr>
      <w:r>
        <w:t>Production credentials must never be copied into local, preview, staging, demo or test environments.</w:t>
      </w:r>
    </w:p>
    <w:p>
      <w:pPr>
        <w:pStyle w:val="ListBullet"/>
      </w:pPr>
      <w:r>
        <w:t>Optional email, SMS/voice, AI, storage, realtime and CCTV integrations may be unavailable/degraded when credentials/infrastructure are absent.</w:t>
      </w:r>
    </w:p>
    <w:p>
      <w:pPr>
        <w:pStyle w:val="ListBullet"/>
      </w:pPr>
      <w:r>
        <w:t>Missing providers must produce explicit unavailable/degraded behavior, never fake message IDs, delivery timestamps, calls, recordings or AI detections.</w:t>
      </w:r>
    </w:p>
    <w:p>
      <w:pPr>
        <w:pStyle w:val="ListBullet"/>
      </w:pPr>
      <w:r>
        <w:t>Buyer credentials belong only to the buyer's isolated deployment.</w:t>
      </w:r>
    </w:p>
    <w:p>
      <w:pPr>
        <w:pStyle w:val="ListBullet"/>
      </w:pPr>
      <w:r>
        <w:t>Supported alternative providers require existing adapters or a new adapter; credentials alone do not create compatibility.</w:t>
      </w:r>
    </w:p>
    <w:p>
      <w:pPr>
        <w:pStyle w:val="ListBullet"/>
      </w:pPr>
      <w:r>
        <w:t>Production testing remains read-only unless explicitly authorized; provider test calls must use known-safe non-Production resources.</w:t>
      </w:r>
    </w:p>
    <w:p>
      <w:r>
        <w:t>This policy is central to future development because it allows product work to continue without pretending unavailable infrastructure is operational.</w:t>
      </w:r>
    </w:p>
    <w:p>
      <w:pPr>
        <w:pStyle w:val="Heading1"/>
      </w:pPr>
      <w:r>
        <w:t>8. Phase 9 Step 3 — Remaining Low-Severity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Planned treatment</w:t>
            </w:r>
          </w:p>
        </w:tc>
      </w:tr>
      <w:tr>
        <w:tc>
          <w:tcPr>
            <w:tcW w:type="dxa" w:w="5112"/>
          </w:tcPr>
          <w:p>
            <w:r>
              <w:t>G8 — CCTV WHEP token rate limiting</w:t>
            </w:r>
          </w:p>
        </w:tc>
        <w:tc>
          <w:tcPr>
            <w:tcW w:type="dxa" w:w="5112"/>
          </w:tcPr>
          <w:p>
            <w:r>
              <w:t>Audit token issuance path, derive limiter identity from authenticated server context, add bounded protection if needed, test abuse and limiter failure.</w:t>
            </w:r>
          </w:p>
        </w:tc>
      </w:tr>
      <w:tr>
        <w:tc>
          <w:tcPr>
            <w:tcW w:type="dxa" w:w="5112"/>
          </w:tcPr>
          <w:p>
            <w:r>
              <w:t>G12 — CSP unsafe-eval/unsafe-inline</w:t>
            </w:r>
          </w:p>
        </w:tc>
        <w:tc>
          <w:tcPr>
            <w:tcW w:type="dxa" w:w="5112"/>
          </w:tcPr>
          <w:p>
            <w:r>
              <w:t>Determine why directives exist; strengthen Production CSP without breaking Next.js, Clerk, Pusher or WebRTC; document unavoidable residual risk.</w:t>
            </w:r>
          </w:p>
        </w:tc>
      </w:tr>
      <w:tr>
        <w:tc>
          <w:tcPr>
            <w:tcW w:type="dxa" w:w="5112"/>
          </w:tcPr>
          <w:p>
            <w:r>
              <w:t>G13 — seed-demo authentication</w:t>
            </w:r>
          </w:p>
        </w:tc>
        <w:tc>
          <w:tcPr>
            <w:tcW w:type="dxa" w:w="5112"/>
          </w:tcPr>
          <w:p>
            <w:r>
              <w:t>Determine whether it is HTTP-accessible/mutating; ensure it cannot execute in Production; require appropriate safeguards or remove remote exposure.</w:t>
            </w:r>
          </w:p>
        </w:tc>
      </w:tr>
      <w:tr>
        <w:tc>
          <w:tcPr>
            <w:tcW w:type="dxa" w:w="5112"/>
          </w:tcPr>
          <w:p>
            <w:r>
              <w:t>G14 — MediaMTX SSRF</w:t>
            </w:r>
          </w:p>
        </w:tc>
        <w:tc>
          <w:tcPr>
            <w:tcW w:type="dxa" w:w="5112"/>
          </w:tcPr>
          <w:p>
            <w:r>
              <w:t>Prove whether MediaMTX URL is exclusively deployment-controlled. If user influence exists, implement full SSRF protection; otherwise document the trust assumption.</w:t>
            </w:r>
          </w:p>
        </w:tc>
      </w:tr>
      <w:tr>
        <w:tc>
          <w:tcPr>
            <w:tcW w:type="dxa" w:w="5112"/>
          </w:tcPr>
          <w:p>
            <w:r>
              <w:t>G15 — generic ingest tenant resolution</w:t>
            </w:r>
          </w:p>
        </w:tc>
        <w:tc>
          <w:tcPr>
            <w:tcW w:type="dxa" w:w="5112"/>
          </w:tcPr>
          <w:p>
            <w:r>
              <w:t>Prefer authoritative DB resource→tenant resolution over trusting payload tenantId; preserve HMAC/replay protection and test forged/cross-tenant resources.</w:t>
            </w:r>
          </w:p>
        </w:tc>
      </w:tr>
    </w:tbl>
    <w:p>
      <w:r>
        <w:t>Phase 9 should close only when every finding has an explicit status such as VERIFIED REMEDIATED, VERIFIED BY TEST, VERIFIED BY CODE REVIEW, ACCEPTED RISK — DOCUMENTED, DEFERRED or BLOCKED. Phase completion must not be confused with production certification.</w:t>
      </w:r>
    </w:p>
    <w:p>
      <w:pPr>
        <w:pStyle w:val="Heading1"/>
      </w:pPr>
      <w:r>
        <w:t>9. Future Execution Plan — Ordered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How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Exit evidence</w:t>
            </w:r>
          </w:p>
        </w:tc>
      </w:tr>
      <w:tr>
        <w:tc>
          <w:tcPr>
            <w:tcW w:type="dxa" w:w="2556"/>
          </w:tcPr>
          <w:p>
            <w:r>
              <w:t>Phase 9 Step 3</w:t>
            </w:r>
          </w:p>
        </w:tc>
        <w:tc>
          <w:tcPr>
            <w:tcW w:type="dxa" w:w="2556"/>
          </w:tcPr>
          <w:p>
            <w:r>
              <w:t>Finish enterprise security hardening.</w:t>
            </w:r>
          </w:p>
        </w:tc>
        <w:tc>
          <w:tcPr>
            <w:tcW w:type="dxa" w:w="2556"/>
          </w:tcPr>
          <w:p>
            <w:r>
              <w:t>Close G8/G12/G13/G14/G15 with forensic review and adversarial tests.</w:t>
            </w:r>
          </w:p>
        </w:tc>
        <w:tc>
          <w:tcPr>
            <w:tcW w:type="dxa" w:w="2556"/>
          </w:tcPr>
          <w:p>
            <w:r>
              <w:t>Every finding explicitly dispositioned; no unexplained high-severity issue.</w:t>
            </w:r>
          </w:p>
        </w:tc>
      </w:tr>
      <w:tr>
        <w:tc>
          <w:tcPr>
            <w:tcW w:type="dxa" w:w="2556"/>
          </w:tcPr>
          <w:p>
            <w:r>
              <w:t>Phase 10</w:t>
            </w:r>
          </w:p>
        </w:tc>
        <w:tc>
          <w:tcPr>
            <w:tcW w:type="dxa" w:w="2556"/>
          </w:tcPr>
          <w:p>
            <w:r>
              <w:t>Observability + Disaster Recovery.</w:t>
            </w:r>
          </w:p>
        </w:tc>
        <w:tc>
          <w:tcPr>
            <w:tcW w:type="dxa" w:w="2556"/>
          </w:tcPr>
          <w:p>
            <w:r>
              <w:t>Backups/PITR, isolated restores, RPO/RTO, recovery verification, metrics, alerts and runbooks.</w:t>
            </w:r>
          </w:p>
        </w:tc>
        <w:tc>
          <w:tcPr>
            <w:tcW w:type="dxa" w:w="2556"/>
          </w:tcPr>
          <w:p>
            <w:r>
              <w:t>Measured recovery evidence and usable operational runbooks.</w:t>
            </w:r>
          </w:p>
        </w:tc>
      </w:tr>
      <w:tr>
        <w:tc>
          <w:tcPr>
            <w:tcW w:type="dxa" w:w="2556"/>
          </w:tcPr>
          <w:p>
            <w:r>
              <w:t>Phase 11</w:t>
            </w:r>
          </w:p>
        </w:tc>
        <w:tc>
          <w:tcPr>
            <w:tcW w:type="dxa" w:w="2556"/>
          </w:tcPr>
          <w:p>
            <w:r>
              <w:t>Scale / Concurrency / Load.</w:t>
            </w:r>
          </w:p>
        </w:tc>
        <w:tc>
          <w:tcPr>
            <w:tcW w:type="dxa" w:w="2556"/>
          </w:tcPr>
          <w:p>
            <w:r>
              <w:t>Load auth, CRM, communication/outbox, CallSession, CCTV and reporting; measure p50/p95/p99, throughput, errors and DB pooling.</w:t>
            </w:r>
          </w:p>
        </w:tc>
        <w:tc>
          <w:tcPr>
            <w:tcW w:type="dxa" w:w="2556"/>
          </w:tcPr>
          <w:p>
            <w:r>
              <w:t>Defined performance envelope and evidence-backed bottleneck fixes.</w:t>
            </w:r>
          </w:p>
        </w:tc>
      </w:tr>
      <w:tr>
        <w:tc>
          <w:tcPr>
            <w:tcW w:type="dxa" w:w="2556"/>
          </w:tcPr>
          <w:p>
            <w:r>
              <w:t>Phase 12</w:t>
            </w:r>
          </w:p>
        </w:tc>
        <w:tc>
          <w:tcPr>
            <w:tcW w:type="dxa" w:w="2556"/>
          </w:tcPr>
          <w:p>
            <w:r>
              <w:t>Repeatable Customer Provisioning.</w:t>
            </w:r>
          </w:p>
        </w:tc>
        <w:tc>
          <w:tcPr>
            <w:tcW w:type="dxa" w:w="2556"/>
          </w:tcPr>
          <w:p>
            <w:r>
              <w:t>Deterministic isolated deployment, DB/migrations, auth, secrets, providers, workers and certification.</w:t>
            </w:r>
          </w:p>
        </w:tc>
        <w:tc>
          <w:tcPr>
            <w:tcW w:type="dxa" w:w="2556"/>
          </w:tcPr>
          <w:p>
            <w:r>
              <w:t>New company provisioned repeatedly without business-logic forks.</w:t>
            </w:r>
          </w:p>
        </w:tc>
      </w:tr>
      <w:tr>
        <w:tc>
          <w:tcPr>
            <w:tcW w:type="dxa" w:w="2556"/>
          </w:tcPr>
          <w:p>
            <w:r>
              <w:t>Phase 13</w:t>
            </w:r>
          </w:p>
        </w:tc>
        <w:tc>
          <w:tcPr>
            <w:tcW w:type="dxa" w:w="2556"/>
          </w:tcPr>
          <w:p>
            <w:r>
              <w:t>Client Infrastructure Compatibility + Production Certification.</w:t>
            </w:r>
          </w:p>
        </w:tc>
        <w:tc>
          <w:tcPr>
            <w:tcW w:type="dxa" w:w="2556"/>
          </w:tcPr>
          <w:p>
            <w:r>
              <w:t>Use legitimate client-like infrastructure, configure providers, health/capability checks, smoke/security/integration tests.</w:t>
            </w:r>
          </w:p>
        </w:tc>
        <w:tc>
          <w:tcPr>
            <w:tcW w:type="dxa" w:w="2556"/>
          </w:tcPr>
          <w:p>
            <w:r>
              <w:t>Deployment-specific certification evidence.</w:t>
            </w:r>
          </w:p>
        </w:tc>
      </w:tr>
      <w:tr>
        <w:tc>
          <w:tcPr>
            <w:tcW w:type="dxa" w:w="2556"/>
          </w:tcPr>
          <w:p>
            <w:r>
              <w:t>Phase 14</w:t>
            </w:r>
          </w:p>
        </w:tc>
        <w:tc>
          <w:tcPr>
            <w:tcW w:type="dxa" w:w="2556"/>
          </w:tcPr>
          <w:p>
            <w:r>
              <w:t>Final Product Certification / Release Gate.</w:t>
            </w:r>
          </w:p>
        </w:tc>
        <w:tc>
          <w:tcPr>
            <w:tcW w:type="dxa" w:w="2556"/>
          </w:tcPr>
          <w:p>
            <w:r>
              <w:t>Run integrated CRM/security/communication/CCTV/AI/realtime/worker/DR/scale/provisioning regression and freeze certified release.</w:t>
            </w:r>
          </w:p>
        </w:tc>
        <w:tc>
          <w:tcPr>
            <w:tcW w:type="dxa" w:w="2556"/>
          </w:tcPr>
          <w:p>
            <w:r>
              <w:t>FINAL AI SECURITY + BUSINESS CRM PLATFORM.</w:t>
            </w:r>
          </w:p>
        </w:tc>
      </w:tr>
    </w:tbl>
    <w:p>
      <w:pPr>
        <w:pStyle w:val="Heading1"/>
      </w:pPr>
      <w:r>
        <w:t>10. Phase 10 — Observability + DR: Detailed Execution</w:t>
      </w:r>
    </w:p>
    <w:p>
      <w:pPr>
        <w:pStyle w:val="ListBullet"/>
      </w:pPr>
      <w:r>
        <w:t>Document backup frequency, retention and integrity.</w:t>
      </w:r>
    </w:p>
    <w:p>
      <w:pPr>
        <w:pStyle w:val="ListBullet"/>
      </w:pPr>
      <w:r>
        <w:t>Perform isolated database restore drills.</w:t>
      </w:r>
    </w:p>
    <w:p>
      <w:pPr>
        <w:pStyle w:val="ListBullet"/>
      </w:pPr>
      <w:r>
        <w:t>Measure actual RPO and RTO rather than relying on provider claims.</w:t>
      </w:r>
    </w:p>
    <w:p>
      <w:pPr>
        <w:pStyle w:val="ListBullet"/>
      </w:pPr>
      <w:r>
        <w:t>Verify application, worker and queue recovery after restore.</w:t>
      </w:r>
    </w:p>
    <w:p>
      <w:pPr>
        <w:pStyle w:val="ListBullet"/>
      </w:pPr>
      <w:r>
        <w:t>Verify tenant isolation after recovery.</w:t>
      </w:r>
    </w:p>
    <w:p>
      <w:pPr>
        <w:pStyle w:val="ListBullet"/>
      </w:pPr>
      <w:r>
        <w:t>Verify retention/deletion behavior after recovery.</w:t>
      </w:r>
    </w:p>
    <w:p>
      <w:pPr>
        <w:pStyle w:val="ListBullet"/>
      </w:pPr>
      <w:r>
        <w:t>Create runbooks for DB recovery, provider outage, worker failure, CCTV node failure and credential rotation.</w:t>
      </w:r>
    </w:p>
    <w:p>
      <w:pPr>
        <w:pStyle w:val="ListBullet"/>
      </w:pPr>
      <w:r>
        <w:t>Add health, metrics, queue/worker latency, failure and database saturation visibility.</w:t>
      </w:r>
    </w:p>
    <w:p>
      <w:pPr>
        <w:pStyle w:val="ListBullet"/>
      </w:pPr>
      <w:r>
        <w:t>Ensure alerts are actionable and do not expose secrets or sensitive payloads.</w:t>
      </w:r>
    </w:p>
    <w:p>
      <w:pPr>
        <w:pStyle w:val="Heading1"/>
      </w:pPr>
      <w:r>
        <w:t>11. Phase 11 — Scale / Concurrency / Load: Detailed Execution</w:t>
      </w:r>
    </w:p>
    <w:p>
      <w:pPr>
        <w:pStyle w:val="ListBullet"/>
      </w:pPr>
      <w:r>
        <w:t>Define target concurrency for one isolated company and expected deployment resources.</w:t>
      </w:r>
    </w:p>
    <w:p>
      <w:pPr>
        <w:pStyle w:val="ListBullet"/>
      </w:pPr>
      <w:r>
        <w:t>Load-test authentication and high-volume CRM lists/timelines.</w:t>
      </w:r>
    </w:p>
    <w:p>
      <w:pPr>
        <w:pStyle w:val="ListBullet"/>
      </w:pPr>
      <w:r>
        <w:t>Load-test EventOutbox/Inngest processing and duplicate delivery.</w:t>
      </w:r>
    </w:p>
    <w:p>
      <w:pPr>
        <w:pStyle w:val="ListBullet"/>
      </w:pPr>
      <w:r>
        <w:t>Load-test CallSession/signaling and realtime authorization.</w:t>
      </w:r>
    </w:p>
    <w:p>
      <w:pPr>
        <w:pStyle w:val="ListBullet"/>
      </w:pPr>
      <w:r>
        <w:t>Load-test CCTV ingestion/worker claiming where infrastructure exists.</w:t>
      </w:r>
    </w:p>
    <w:p>
      <w:pPr>
        <w:pStyle w:val="ListBullet"/>
      </w:pPr>
      <w:r>
        <w:t>Load-test reporting aggregations and exports.</w:t>
      </w:r>
    </w:p>
    <w:p>
      <w:pPr>
        <w:pStyle w:val="ListBullet"/>
      </w:pPr>
      <w:r>
        <w:t>Measure connection pool saturation and queue latency.</w:t>
      </w:r>
    </w:p>
    <w:p>
      <w:pPr>
        <w:pStyle w:val="ListBullet"/>
      </w:pPr>
      <w:r>
        <w:t>Capture p50/p95/p99 latency, throughput, error rate and resource utilization.</w:t>
      </w:r>
    </w:p>
    <w:p>
      <w:pPr>
        <w:pStyle w:val="ListBullet"/>
      </w:pPr>
      <w:r>
        <w:t>Fix only evidence-backed bottlenecks and rerun security tests afterward.</w:t>
      </w:r>
    </w:p>
    <w:p>
      <w:pPr>
        <w:pStyle w:val="Heading1"/>
      </w:pPr>
      <w:r>
        <w:t>12. Phase 12 — Repeatable Customer Provisioning: Detailed Execution</w:t>
      </w:r>
    </w:p>
    <w:p>
      <w:r>
        <w:t>The commercial deployment model depends on turning a buyer's infrastructure into configuration rather than a new code fork.</w:t>
      </w:r>
    </w:p>
    <w:p>
      <w:pPr>
        <w:pStyle w:val="ListBullet"/>
      </w:pPr>
      <w:r>
        <w:t>Create isolated application deployment/environment.</w:t>
      </w:r>
    </w:p>
    <w:p>
      <w:pPr>
        <w:pStyle w:val="ListBullet"/>
      </w:pPr>
      <w:r>
        <w:t>Provision/connect compatible PostgreSQL and required extensions/roles.</w:t>
      </w:r>
    </w:p>
    <w:p>
      <w:pPr>
        <w:pStyle w:val="ListBullet"/>
      </w:pPr>
      <w:r>
        <w:t>Apply canonical migration baseline.</w:t>
      </w:r>
    </w:p>
    <w:p>
      <w:pPr>
        <w:pStyle w:val="ListBullet"/>
      </w:pPr>
      <w:r>
        <w:t>Configure Clerk/authentication and security settings.</w:t>
      </w:r>
    </w:p>
    <w:p>
      <w:pPr>
        <w:pStyle w:val="ListBullet"/>
      </w:pPr>
      <w:r>
        <w:t>Configure the buyer's selected email, telephony, AI, storage, realtime and CCTV infrastructure where applicable.</w:t>
      </w:r>
    </w:p>
    <w:p>
      <w:pPr>
        <w:pStyle w:val="ListBullet"/>
      </w:pPr>
      <w:r>
        <w:t>Store secrets only in the buyer deployment's secure secret store.</w:t>
      </w:r>
    </w:p>
    <w:p>
      <w:pPr>
        <w:pStyle w:val="ListBullet"/>
      </w:pPr>
      <w:r>
        <w:t>Run configuration validation, provider health and capability checks.</w:t>
      </w:r>
    </w:p>
    <w:p>
      <w:pPr>
        <w:pStyle w:val="ListBullet"/>
      </w:pPr>
      <w:r>
        <w:t>Run non-destructive integration certification.</w:t>
      </w:r>
    </w:p>
    <w:p>
      <w:pPr>
        <w:pStyle w:val="ListBullet"/>
      </w:pPr>
      <w:r>
        <w:t>Run final smoke/security checks.</w:t>
      </w:r>
    </w:p>
    <w:p>
      <w:pPr>
        <w:pStyle w:val="ListBullet"/>
      </w:pPr>
      <w:r>
        <w:t>Record evidence, freeze the certified environment and produce handover documentation.</w:t>
      </w:r>
    </w:p>
    <w:p>
      <w:r>
        <w:t>The Goal document's intended chain is: client infrastructure → credentials/configuration → provider contract/adapter → health checks/capability detection → sandbox/integration certification → READY.</w:t>
      </w:r>
    </w:p>
    <w:p>
      <w:pPr>
        <w:pStyle w:val="Heading1"/>
      </w:pPr>
      <w:r>
        <w:t>13. Phase 13–14 — Final Certification</w:t>
      </w:r>
    </w:p>
    <w:p>
      <w:r>
        <w:t>Final certification is deployment-specific. A passing local build or unit suite is necessary but not sufficient.</w:t>
      </w:r>
    </w:p>
    <w:p>
      <w:pPr>
        <w:pStyle w:val="ListBullet"/>
      </w:pPr>
      <w:r>
        <w:t>Database/schema/migration convergence.</w:t>
      </w:r>
    </w:p>
    <w:p>
      <w:pPr>
        <w:pStyle w:val="ListBullet"/>
      </w:pPr>
      <w:r>
        <w:t>Authentication/session integrity and identity lifecycle.</w:t>
      </w:r>
    </w:p>
    <w:p>
      <w:pPr>
        <w:pStyle w:val="ListBullet"/>
      </w:pPr>
      <w:r>
        <w:t>Tenant isolation, RLS, RBAC and IDOR protection.</w:t>
      </w:r>
    </w:p>
    <w:p>
      <w:pPr>
        <w:pStyle w:val="ListBullet"/>
      </w:pPr>
      <w:r>
        <w:t>CRM, revenue, quotation and approval workflows.</w:t>
      </w:r>
    </w:p>
    <w:p>
      <w:pPr>
        <w:pStyle w:val="ListBullet"/>
      </w:pPr>
      <w:r>
        <w:t>Communication and telephony with the selected provider.</w:t>
      </w:r>
    </w:p>
    <w:p>
      <w:pPr>
        <w:pStyle w:val="ListBullet"/>
      </w:pPr>
      <w:r>
        <w:t>Realtime/channel authorization and calling.</w:t>
      </w:r>
    </w:p>
    <w:p>
      <w:pPr>
        <w:pStyle w:val="ListBullet"/>
      </w:pPr>
      <w:r>
        <w:t>CCTV stream/recording/worker/storage chain where deployed.</w:t>
      </w:r>
    </w:p>
    <w:p>
      <w:pPr>
        <w:pStyle w:val="ListBullet"/>
      </w:pPr>
      <w:r>
        <w:t>AI provider behavior and application-side tool authorization.</w:t>
      </w:r>
    </w:p>
    <w:p>
      <w:pPr>
        <w:pStyle w:val="ListBullet"/>
      </w:pPr>
      <w:r>
        <w:t>EventOutbox/Inngest, retry, idempotency and worker recovery.</w:t>
      </w:r>
    </w:p>
    <w:p>
      <w:pPr>
        <w:pStyle w:val="ListBullet"/>
      </w:pPr>
      <w:r>
        <w:t>Observability, alerts and operational runbooks.</w:t>
      </w:r>
    </w:p>
    <w:p>
      <w:pPr>
        <w:pStyle w:val="ListBullet"/>
      </w:pPr>
      <w:r>
        <w:t>Backup/restore, RPO/RTO and retention behavior.</w:t>
      </w:r>
    </w:p>
    <w:p>
      <w:pPr>
        <w:pStyle w:val="ListBullet"/>
      </w:pPr>
      <w:r>
        <w:t>Concurrency/load evidence.</w:t>
      </w:r>
    </w:p>
    <w:p>
      <w:pPr>
        <w:pStyle w:val="ListBullet"/>
      </w:pPr>
      <w:r>
        <w:t>Credential rotation and secret-management verification.</w:t>
      </w:r>
    </w:p>
    <w:p>
      <w:pPr>
        <w:pStyle w:val="ListBullet"/>
      </w:pPr>
      <w:r>
        <w:t>Client-specific provider/infrastructure compatibility.</w:t>
      </w:r>
    </w:p>
    <w:p>
      <w:pPr>
        <w:pStyle w:val="ListBullet"/>
      </w:pPr>
      <w:r>
        <w:t>Final smoke/security regression and release freeze.</w:t>
      </w:r>
    </w:p>
    <w:p>
      <w:pPr>
        <w:pStyle w:val="Heading1"/>
      </w:pPr>
      <w:r>
        <w:t>14. What Will Happen When a Real Client Arrives</w:t>
      </w:r>
    </w:p>
    <w:p>
      <w:r>
        <w:t>The intended onboarding sequence is configuration and certification, not rewriting the product:</w:t>
      </w:r>
    </w:p>
    <w:p>
      <w:pPr>
        <w:jc w:val="center"/>
      </w:pPr>
      <w:r>
        <w:rPr>
          <w:b/>
        </w:rPr>
        <w:t>CLIENT</w:t>
        <w:br/>
        <w:t>↓</w:t>
        <w:br/>
        <w:t>ISOLATED DEPLOYMENT</w:t>
        <w:br/>
        <w:t>↓</w:t>
        <w:br/>
        <w:t>DATABASE + AUTH + SECURITY</w:t>
        <w:br/>
        <w:t>↓</w:t>
        <w:br/>
        <w:t>CLIENT PROVIDER CREDENTIALS</w:t>
        <w:br/>
        <w:t>↓</w:t>
        <w:br/>
        <w:t>HEALTH / CAPABILITY CHECKS</w:t>
        <w:br/>
        <w:t>↓</w:t>
        <w:br/>
        <w:t>NON-DESTRUCTIVE INTEGRATION TESTS</w:t>
        <w:br/>
        <w:t>↓</w:t>
        <w:br/>
        <w:t>SMOKE + SECURITY CERTIFICATION</w:t>
        <w:br/>
        <w:t>↓</w:t>
        <w:br/>
        <w:t>READY / HANDOVER</w:t>
      </w:r>
    </w:p>
    <w:p>
      <w:r>
        <w:t>A client may use a different compatible infrastructure combination, but compatibility must be validated. For example, the source architecture permits a target such as AWS/RDS instead of Supabase when PostgreSQL, extensions, roles, pooling and required infrastructure semantics are actually compatible. It does not promise that arbitrary vendors work without adapters.</w:t>
      </w:r>
    </w:p>
    <w:p>
      <w:pPr>
        <w:pStyle w:val="Heading1"/>
      </w:pPr>
      <w:r>
        <w:t>15. Final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Required final proof</w:t>
            </w:r>
          </w:p>
        </w:tc>
      </w:tr>
      <w:tr>
        <w:tc>
          <w:tcPr>
            <w:tcW w:type="dxa" w:w="5112"/>
          </w:tcPr>
          <w:p>
            <w:r>
              <w:t>CRM</w:t>
            </w:r>
          </w:p>
        </w:tc>
        <w:tc>
          <w:tcPr>
            <w:tcW w:type="dxa" w:w="5112"/>
          </w:tcPr>
          <w:p>
            <w:r>
              <w:t>Usable end-to-end workflows, permissions, auditability and smoke tests.</w:t>
            </w:r>
          </w:p>
        </w:tc>
      </w:tr>
      <w:tr>
        <w:tc>
          <w:tcPr>
            <w:tcW w:type="dxa" w:w="5112"/>
          </w:tcPr>
          <w:p>
            <w:r>
              <w:t>Communication/Telephony</w:t>
            </w:r>
          </w:p>
        </w:tc>
        <w:tc>
          <w:tcPr>
            <w:tcW w:type="dxa" w:w="5112"/>
          </w:tcPr>
          <w:p>
            <w:r>
              <w:t>Real or explicitly selected provider integration, failure/retry/idempotency evidence.</w:t>
            </w:r>
          </w:p>
        </w:tc>
      </w:tr>
      <w:tr>
        <w:tc>
          <w:tcPr>
            <w:tcW w:type="dxa" w:w="5112"/>
          </w:tcPr>
          <w:p>
            <w:r>
              <w:t>CCTV</w:t>
            </w:r>
          </w:p>
        </w:tc>
        <w:tc>
          <w:tcPr>
            <w:tcW w:type="dxa" w:w="5112"/>
          </w:tcPr>
          <w:p>
            <w:r>
              <w:t>Camera → MediaMTX → recording → authenticated webhook → node-affine worker → verified storage → AI job/event where deployed.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Controlled authorized tools, tenant-aware context, audited actions and real provider evidence where available.</w:t>
            </w:r>
          </w:p>
        </w:tc>
      </w:tr>
      <w:tr>
        <w:tc>
          <w:tcPr>
            <w:tcW w:type="dxa" w:w="5112"/>
          </w:tcPr>
          <w:p>
            <w:r>
              <w:t>Realtime</w:t>
            </w:r>
          </w:p>
        </w:tc>
        <w:tc>
          <w:tcPr>
            <w:tcW w:type="dxa" w:w="5112"/>
          </w:tcPr>
          <w:p>
            <w:r>
              <w:t>Managed provider, secure channels, calling/presence and degradation behavior.</w:t>
            </w:r>
          </w:p>
        </w:tc>
      </w:tr>
      <w:tr>
        <w:tc>
          <w:tcPr>
            <w:tcW w:type="dxa" w:w="5112"/>
          </w:tcPr>
          <w:p>
            <w:r>
              <w:t>Workforce</w:t>
            </w:r>
          </w:p>
        </w:tc>
        <w:tc>
          <w:tcPr>
            <w:tcW w:type="dxa" w:w="5112"/>
          </w:tcPr>
          <w:p>
            <w:r>
              <w:t>Company → department → employee onboarding and RBAC.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Products, pricing, quotes, versions, discounts, approvals and commercial reporting.</w:t>
            </w:r>
          </w:p>
        </w:tc>
      </w:tr>
      <w:tr>
        <w:tc>
          <w:tcPr>
            <w:tcW w:type="dxa" w:w="5112"/>
          </w:tcPr>
          <w:p>
            <w:r>
              <w:t>Notifications/Reporting</w:t>
            </w:r>
          </w:p>
        </w:tc>
        <w:tc>
          <w:tcPr>
            <w:tcW w:type="dxa" w:w="5112"/>
          </w:tcPr>
          <w:p>
            <w:r>
              <w:t>Complete notification lifecycle, dashboards, bounded exports and useful reports.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Tenant isolation, RLS, RBAC, IDOR, webhook, secret, logging, SSRF/path and abuse controls.</w:t>
            </w:r>
          </w:p>
        </w:tc>
      </w:tr>
      <w:tr>
        <w:tc>
          <w:tcPr>
            <w:tcW w:type="dxa" w:w="5112"/>
          </w:tcPr>
          <w:p>
            <w:r>
              <w:t>Workers</w:t>
            </w:r>
          </w:p>
        </w:tc>
        <w:tc>
          <w:tcPr>
            <w:tcW w:type="dxa" w:w="5112"/>
          </w:tcPr>
          <w:p>
            <w:r>
              <w:t>Claiming, leases, fencing, node affinity, graceful shutdown, idempotency and recovery.</w:t>
            </w:r>
          </w:p>
        </w:tc>
      </w:tr>
      <w:tr>
        <w:tc>
          <w:tcPr>
            <w:tcW w:type="dxa" w:w="5112"/>
          </w:tcPr>
          <w:p>
            <w:r>
              <w:t>DR/Observability</w:t>
            </w:r>
          </w:p>
        </w:tc>
        <w:tc>
          <w:tcPr>
            <w:tcW w:type="dxa" w:w="5112"/>
          </w:tcPr>
          <w:p>
            <w:r>
              <w:t>Backups, restore drills, measured RPO/RTO, metrics, alerts and runbooks.</w:t>
            </w:r>
          </w:p>
        </w:tc>
      </w:tr>
      <w:tr>
        <w:tc>
          <w:tcPr>
            <w:tcW w:type="dxa" w:w="5112"/>
          </w:tcPr>
          <w:p>
            <w:r>
              <w:t>Scale</w:t>
            </w:r>
          </w:p>
        </w:tc>
        <w:tc>
          <w:tcPr>
            <w:tcW w:type="dxa" w:w="5112"/>
          </w:tcPr>
          <w:p>
            <w:r>
              <w:t>Concurrency/load evidence on intended deployment topology.</w:t>
            </w:r>
          </w:p>
        </w:tc>
      </w:tr>
      <w:tr>
        <w:tc>
          <w:tcPr>
            <w:tcW w:type="dxa" w:w="5112"/>
          </w:tcPr>
          <w:p>
            <w:r>
              <w:t>Provisioning</w:t>
            </w:r>
          </w:p>
        </w:tc>
        <w:tc>
          <w:tcPr>
            <w:tcW w:type="dxa" w:w="5112"/>
          </w:tcPr>
          <w:p>
            <w:r>
              <w:t>Repeatable isolated company deployment without business-logic forks.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Deployment-specific smoke, security, integration and operational certification.</w:t>
            </w:r>
          </w:p>
        </w:tc>
      </w:tr>
    </w:tbl>
    <w:p>
      <w:pPr>
        <w:pStyle w:val="Heading1"/>
      </w:pPr>
      <w:r>
        <w:t>16. Risks That Must Stay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5112"/>
          </w:tcPr>
          <w:p>
            <w:r>
              <w:t>Credential exposure</w:t>
            </w:r>
          </w:p>
        </w:tc>
        <w:tc>
          <w:tcPr>
            <w:tcW w:type="dxa" w:w="5112"/>
          </w:tcPr>
          <w:p>
            <w:r>
              <w:t>Treat any exposed secret as compromised; rotate through secure provider/deployment workflow; never repeat it.</w:t>
            </w:r>
          </w:p>
        </w:tc>
      </w:tr>
      <w:tr>
        <w:tc>
          <w:tcPr>
            <w:tcW w:type="dxa" w:w="5112"/>
          </w:tcPr>
          <w:p>
            <w:r>
              <w:t>Demo leakage</w:t>
            </w:r>
          </w:p>
        </w:tc>
        <w:tc>
          <w:tcPr>
            <w:tcW w:type="dxa" w:w="5112"/>
          </w:tcPr>
          <w:p>
            <w:r>
              <w:t>Explicit demo/test mode; never silently create fake production records.</w:t>
            </w:r>
          </w:p>
        </w:tc>
      </w:tr>
      <w:tr>
        <w:tc>
          <w:tcPr>
            <w:tcW w:type="dxa" w:w="5112"/>
          </w:tcPr>
          <w:p>
            <w:r>
              <w:t>CCTV data loss</w:t>
            </w:r>
          </w:p>
        </w:tc>
        <w:tc>
          <w:tcPr>
            <w:tcW w:type="dxa" w:w="5112"/>
          </w:tcPr>
          <w:p>
            <w:r>
              <w:t>Never delete local recording before durable storage/integrity and DB confirmation.</w:t>
            </w:r>
          </w:p>
        </w:tc>
      </w:tr>
      <w:tr>
        <w:tc>
          <w:tcPr>
            <w:tcW w:type="dxa" w:w="5112"/>
          </w:tcPr>
          <w:p>
            <w:r>
              <w:t>Migration drift</w:t>
            </w:r>
          </w:p>
        </w:tc>
        <w:tc>
          <w:tcPr>
            <w:tcW w:type="dxa" w:w="5112"/>
          </w:tcPr>
          <w:p>
            <w:r>
              <w:t>Canonical baseline + five-way reconciliation.</w:t>
            </w:r>
          </w:p>
        </w:tc>
      </w:tr>
      <w:tr>
        <w:tc>
          <w:tcPr>
            <w:tcW w:type="dxa" w:w="5112"/>
          </w:tcPr>
          <w:p>
            <w:r>
              <w:t>Database portability</w:t>
            </w:r>
          </w:p>
        </w:tc>
        <w:tc>
          <w:tcPr>
            <w:tcW w:type="dxa" w:w="5112"/>
          </w:tcPr>
          <w:p>
            <w:r>
              <w:t>Validate PostgreSQL/RLS/extensions/roles/pooling on each target.</w:t>
            </w:r>
          </w:p>
        </w:tc>
      </w:tr>
      <w:tr>
        <w:tc>
          <w:tcPr>
            <w:tcW w:type="dxa" w:w="5112"/>
          </w:tcPr>
          <w:p>
            <w:r>
              <w:t>Realtime</w:t>
            </w:r>
          </w:p>
        </w:tc>
        <w:tc>
          <w:tcPr>
            <w:tcW w:type="dxa" w:w="5112"/>
          </w:tcPr>
          <w:p>
            <w:r>
              <w:t>CRM/application authorization remains the security boundary.</w:t>
            </w:r>
          </w:p>
        </w:tc>
      </w:tr>
      <w:tr>
        <w:tc>
          <w:tcPr>
            <w:tcW w:type="dxa" w:w="5112"/>
          </w:tcPr>
          <w:p>
            <w:r>
              <w:t>Provider idempotency</w:t>
            </w:r>
          </w:p>
        </w:tc>
        <w:tc>
          <w:tcPr>
            <w:tcW w:type="dxa" w:w="5112"/>
          </w:tcPr>
          <w:p>
            <w:r>
              <w:t>Distinguish internal job identity from provider-level idempotency.</w:t>
            </w:r>
          </w:p>
        </w:tc>
      </w:tr>
      <w:tr>
        <w:tc>
          <w:tcPr>
            <w:tcW w:type="dxa" w:w="5112"/>
          </w:tcPr>
          <w:p>
            <w:r>
              <w:t>Scale</w:t>
            </w:r>
          </w:p>
        </w:tc>
        <w:tc>
          <w:tcPr>
            <w:tcW w:type="dxa" w:w="5112"/>
          </w:tcPr>
          <w:p>
            <w:r>
              <w:t>Real load/concurrency tests, not inference from unit tests.</w:t>
            </w:r>
          </w:p>
        </w:tc>
      </w:tr>
      <w:tr>
        <w:tc>
          <w:tcPr>
            <w:tcW w:type="dxa" w:w="5112"/>
          </w:tcPr>
          <w:p>
            <w:r>
              <w:t>Production confidence</w:t>
            </w:r>
          </w:p>
        </w:tc>
        <w:tc>
          <w:tcPr>
            <w:tcW w:type="dxa" w:w="5112"/>
          </w:tcPr>
          <w:p>
            <w:r>
              <w:t>Keep implementation maturity separate from production certification.</w:t>
            </w:r>
          </w:p>
        </w:tc>
      </w:tr>
    </w:tbl>
    <w:p>
      <w:pPr>
        <w:pStyle w:val="Heading1"/>
      </w:pPr>
      <w:r>
        <w:t>17. Authoritative Rules for Every Future Phase</w:t>
      </w:r>
    </w:p>
    <w:p>
      <w:pPr>
        <w:pStyle w:val="ListBullet"/>
      </w:pPr>
      <w:r>
        <w:t>Read the latest handover, roadmap and repository state before changing architecture.</w:t>
      </w:r>
    </w:p>
    <w:p>
      <w:pPr>
        <w:pStyle w:val="ListBullet"/>
      </w:pPr>
      <w:r>
        <w:t>Prefer the latest explicit architectural decision when historical documents conflict.</w:t>
      </w:r>
    </w:p>
    <w:p>
      <w:pPr>
        <w:pStyle w:val="ListBullet"/>
      </w:pPr>
      <w:r>
        <w:t>Do not restart completed work without a new reproducible defect.</w:t>
      </w:r>
    </w:p>
    <w:p>
      <w:pPr>
        <w:pStyle w:val="ListBullet"/>
      </w:pPr>
      <w:r>
        <w:t>Audit before implementation and define acceptance criteria first.</w:t>
      </w:r>
    </w:p>
    <w:p>
      <w:pPr>
        <w:pStyle w:val="ListBullet"/>
      </w:pPr>
      <w:r>
        <w:t>Use the smallest complete change and add focused adversarial tests.</w:t>
      </w:r>
    </w:p>
    <w:p>
      <w:pPr>
        <w:pStyle w:val="ListBullet"/>
      </w:pPr>
      <w:r>
        <w:t>Run relevant TypeScript, Prisma, lint and broader suites as applicable.</w:t>
      </w:r>
    </w:p>
    <w:p>
      <w:pPr>
        <w:pStyle w:val="ListBullet"/>
      </w:pPr>
      <w:r>
        <w:t>Inspect git diff/status before completion.</w:t>
      </w:r>
    </w:p>
    <w:p>
      <w:pPr>
        <w:pStyle w:val="ListBullet"/>
      </w:pPr>
      <w:r>
        <w:t>Use PASS/FAIL/BLOCKED/DEFERRED/ACCEPTED RISK explicitly.</w:t>
      </w:r>
    </w:p>
    <w:p>
      <w:pPr>
        <w:pStyle w:val="ListBullet"/>
      </w:pPr>
      <w:r>
        <w:t>Never claim runtime behavior from code inspection when executable evidence is possible.</w:t>
      </w:r>
    </w:p>
    <w:p>
      <w:pPr>
        <w:pStyle w:val="ListBullet"/>
      </w:pPr>
      <w:r>
        <w:t>Never invent credentials or provider success.</w:t>
      </w:r>
    </w:p>
    <w:p>
      <w:pPr>
        <w:pStyle w:val="ListBullet"/>
      </w:pPr>
      <w:r>
        <w:t>Never trust client-supplied tenant/resource identifiers without authorization.</w:t>
      </w:r>
    </w:p>
    <w:p>
      <w:pPr>
        <w:pStyle w:val="ListBullet"/>
      </w:pPr>
      <w:r>
        <w:t>Never give AI unrestricted database access.</w:t>
      </w:r>
    </w:p>
    <w:p>
      <w:pPr>
        <w:pStyle w:val="ListBullet"/>
      </w:pPr>
      <w:r>
        <w:t>Never place persistent CCTV workers/filesystem processing in serverless routes.</w:t>
      </w:r>
    </w:p>
    <w:p>
      <w:pPr>
        <w:pStyle w:val="ListBullet"/>
      </w:pPr>
      <w:r>
        <w:t>Never delete CCTV artifacts before verified durable storage.</w:t>
      </w:r>
    </w:p>
    <w:p>
      <w:pPr>
        <w:pStyle w:val="ListBullet"/>
      </w:pPr>
      <w:r>
        <w:t>Never weaken tests or hide failures with blanket suppression.</w:t>
      </w:r>
    </w:p>
    <w:p>
      <w:pPr>
        <w:pStyle w:val="ListBullet"/>
      </w:pPr>
      <w:r>
        <w:t>Keep every customer's credentials isolated to that customer's deployment.</w:t>
      </w:r>
    </w:p>
    <w:p>
      <w:pPr>
        <w:pStyle w:val="Heading1"/>
      </w:pPr>
      <w:r>
        <w:t>18. Executive Timeline</w:t>
      </w:r>
    </w:p>
    <w:p>
      <w:r>
        <w:rPr>
          <w:b/>
        </w:rPr>
        <w:t>FRESH ROADMAP BASELINE</w:t>
        <w:br/>
      </w:r>
      <w:r>
        <w:rPr>
          <w:b/>
        </w:rPr>
        <w:t>↓</w:t>
        <w:br/>
        <w:t>Phase 6 — Revenue / Quotes / Approvals</w:t>
        <w:br/>
        <w:t>↓</w:t>
        <w:br/>
        <w:t>Phase 7 — Reporting / Analytics</w:t>
        <w:br/>
        <w:t>↓</w:t>
        <w:br/>
        <w:t>Phase 8 — Notifications / Workflow / Background Processing</w:t>
        <w:br/>
        <w:t>↓</w:t>
        <w:br/>
        <w:t>Phase 9 Step 1 — High Security Findings</w:t>
        <w:br/>
        <w:t>↓</w:t>
        <w:br/>
        <w:t>Phase 9 Step 2 — Medium Security Findings + Next.js patch</w:t>
        <w:br/>
        <w:t>↓</w:t>
        <w:br/>
        <w:t>CURRENT → Phase 9 Step 3 — Final Low-Severity Findings</w:t>
        <w:br/>
        <w:t>↓</w:t>
        <w:br/>
        <w:t>Phase 10 — Observability + DR</w:t>
        <w:br/>
        <w:t>↓</w:t>
        <w:br/>
        <w:t>Phase 11 — Scale / Concurrency / Load</w:t>
        <w:br/>
        <w:t>↓</w:t>
        <w:br/>
        <w:t>Phase 12 — Repeatable Customer Provisioning</w:t>
        <w:br/>
        <w:t>↓</w:t>
        <w:br/>
        <w:t>Phase 13 — Client Infrastructure / Production Certification</w:t>
        <w:br/>
        <w:t>↓</w:t>
        <w:br/>
        <w:t>Phase 14 — Final Integrated Certification / Release Gate</w:t>
        <w:br/>
        <w:t>↓</w:t>
        <w:br/>
        <w:t>FINAL AI SECURITY + BUSINESS CRM PLATFORM</w:t>
      </w:r>
    </w:p>
    <w:p>
      <w:pPr>
        <w:pStyle w:val="Heading1"/>
      </w:pPr>
      <w:r>
        <w:t>19. Source Basis and Interpretation</w:t>
      </w:r>
    </w:p>
    <w:p>
      <w:r>
        <w:t>This document was prepared from the supplied Fresh Roadmap, project/progress records, master/current-state handovers, credential-handling policy, Goal document, remaining-roadmap/operating-plan material, and the latest Phase 9 remediation evidence. Historical percentage estimates are retained only as context; later evidence supersedes earlier snapshots. Where the sources distinguish implementation, automated verification, real external E2E and production certification, this document preserves those distinctions.</w:t>
      </w:r>
    </w:p>
    <w:p>
      <w:r>
        <w:t>The governing principle across the sources is simple: evidence beats assumptions. The product should reach the final state through reconcile → prioritize → implement → adversarial test → integration verification → operational certification → isolated client provisioning → production certification → release.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Updates From fresh roadmap till now and Future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