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Project File Description</w:t>
      </w:r>
    </w:p>
    <w:p>
      <w:pPr>
        <w:jc w:val="center"/>
      </w:pPr>
      <w:r>
        <w:rPr>
          <w:i/>
          <w:color w:val="595959"/>
          <w:sz w:val="26"/>
        </w:rPr>
        <w:t>Physics-Guided Unsupervised Latent Alignment</w:t>
        <w:br/>
        <w:t>for Unified Solar PV System Loss Estimation</w:t>
      </w:r>
    </w:p>
    <w:p>
      <w:pPr>
        <w:jc w:val="center"/>
      </w:pPr>
      <w:r>
        <w:rPr>
          <w:color w:val="787878"/>
          <w:sz w:val="20"/>
        </w:rPr>
        <w:t>Aruni Saxena  |  Dhirubhai Ambani University  |  February 2026</w:t>
      </w:r>
    </w:p>
    <w:p>
      <w:r>
        <w:t>─────────────────────────────────────────────────────────────────────────────────────</w:t>
      </w:r>
    </w:p>
    <w:p>
      <w:pPr>
        <w:pStyle w:val="Heading1"/>
      </w:pPr>
      <w:r>
        <w:rPr>
          <w:color w:val="1F4E79"/>
        </w:rPr>
        <w:t>1. Project Overview</w:t>
      </w:r>
    </w:p>
    <w:p>
      <w:pPr>
        <w:spacing w:after="120"/>
      </w:pPr>
      <w:r>
        <w:rPr>
          <w:sz w:val="22"/>
        </w:rPr>
        <w:t>This project presents a novel framework for estimating system-level losses in grid-connected solar photovoltaic (PV) installations across India. The study proposes a Physics-Guided Unsupervised Latent Alignment approach that fuses the outputs of four conventional PV modeling frameworks (SAPM, CEC, SAM, PVWatts) into a latent consensus estimate (L5), and augments it with a physics-informed model (L6) that captures soiling kinetics, temperature derating, and humidity-driven degradation. The analysis covers 72 major Indian cities across all states and union territories, using meteorological data from the India Meteorological Department (IMD) and Open-Meteo.</w:t>
      </w:r>
    </w:p>
    <w:p>
      <w:pPr>
        <w:spacing w:after="240"/>
      </w:pPr>
      <w:r>
        <w:rPr>
          <w:sz w:val="22"/>
        </w:rPr>
        <w:t>The directory contains the complete research deliverable: the LaTeX manuscript, all Python source code for reproducibility, input/output datasets, and publication-ready figures. A total of 19 files are organized as described below.</w:t>
      </w:r>
    </w:p>
    <w:p>
      <w:pPr>
        <w:pStyle w:val="Heading1"/>
      </w:pPr>
      <w:r>
        <w:rPr>
          <w:color w:val="1F4E79"/>
        </w:rPr>
        <w:t>2. Manuscript &amp; Bibliography</w:t>
      </w:r>
    </w:p>
    <w:tbl>
      <w:tblPr>
        <w:tblStyle w:val="TableGrid"/>
        <w:tblW w:type="auto" w:w="0"/>
        <w:jc w:val="center"/>
        <w:tblLook w:firstColumn="1" w:firstRow="1" w:lastColumn="0" w:lastRow="0" w:noHBand="0" w:noVBand="1" w:val="04A0"/>
      </w:tblPr>
      <w:tblGrid>
        <w:gridCol w:w="4703"/>
        <w:gridCol w:w="4703"/>
      </w:tblGrid>
      <w:tr>
        <w:tc>
          <w:tcPr>
            <w:tcW w:type="dxa" w:w="3118"/>
            <w:shd w:fill="1F4E79" w:val="clear"/>
          </w:tcPr>
          <w:p>
            <w:pPr>
              <w:jc w:val="center"/>
            </w:pPr>
            <w:r/>
            <w:r>
              <w:rPr>
                <w:b/>
                <w:color w:val="FFFFFF"/>
                <w:sz w:val="20"/>
              </w:rPr>
              <w:t>File Name</w:t>
            </w:r>
          </w:p>
        </w:tc>
        <w:tc>
          <w:tcPr>
            <w:tcW w:type="dxa" w:w="6803"/>
            <w:shd w:fill="1F4E79" w:val="clear"/>
          </w:tcPr>
          <w:p>
            <w:pPr>
              <w:jc w:val="center"/>
            </w:pPr>
            <w:r/>
            <w:r>
              <w:rPr>
                <w:b/>
                <w:color w:val="FFFFFF"/>
                <w:sz w:val="20"/>
              </w:rPr>
              <w:t>Description</w:t>
            </w:r>
          </w:p>
        </w:tc>
      </w:tr>
      <w:tr>
        <w:tc>
          <w:tcPr>
            <w:tcW w:type="dxa" w:w="3118"/>
          </w:tcPr>
          <w:p>
            <w:r/>
            <w:r>
              <w:rPr>
                <w:b/>
                <w:color w:val="1F4E79"/>
                <w:sz w:val="19"/>
              </w:rPr>
              <w:t>Manuscript.tex</w:t>
            </w:r>
          </w:p>
        </w:tc>
        <w:tc>
          <w:tcPr>
            <w:tcW w:type="dxa" w:w="6803"/>
          </w:tcPr>
          <w:p>
            <w:r/>
            <w:r>
              <w:rPr>
                <w:sz w:val="19"/>
              </w:rPr>
              <w:t>The complete research manuscript in LaTeX (Elsevier cas-sc single-column format). Contains the title, abstract, 5 highlights, introduction, literature review, methodology (with mathematical formulations for all 6 frameworks), results &amp; discussion (with 9 data tables and inline statistics), limitations, conclusion, and CRediT authorship contribution statement. All tables are populated with final computed values and all 5 figures are correctly referenced.</w:t>
            </w:r>
          </w:p>
        </w:tc>
      </w:tr>
      <w:tr>
        <w:tc>
          <w:tcPr>
            <w:tcW w:type="dxa" w:w="3118"/>
            <w:shd w:fill="E8F0FE" w:val="clear"/>
          </w:tcPr>
          <w:p>
            <w:r/>
            <w:r>
              <w:rPr>
                <w:b/>
                <w:color w:val="1F4E79"/>
                <w:sz w:val="19"/>
              </w:rPr>
              <w:t>references.bib</w:t>
            </w:r>
          </w:p>
        </w:tc>
        <w:tc>
          <w:tcPr>
            <w:tcW w:type="dxa" w:w="6803"/>
            <w:shd w:fill="E8F0FE" w:val="clear"/>
          </w:tcPr>
          <w:p>
            <w:r/>
            <w:r>
              <w:rPr>
                <w:sz w:val="19"/>
              </w:rPr>
              <w:t>BibTeX bibliography file containing all cited references. Includes entries for PV modeling frameworks (pvlib, SAM, PVWatts), soiling studies, climate datasets, statistical methods, and Indian energy policy documents. Used by the natbib package with the cas-model2-names bibliography style.</w:t>
            </w:r>
          </w:p>
        </w:tc>
      </w:tr>
    </w:tbl>
    <w:p/>
    <w:p>
      <w:pPr>
        <w:pStyle w:val="Heading1"/>
      </w:pPr>
      <w:r>
        <w:rPr>
          <w:color w:val="1F4E79"/>
        </w:rPr>
        <w:t>3. Core Python Scripts</w:t>
      </w:r>
    </w:p>
    <w:tbl>
      <w:tblPr>
        <w:tblStyle w:val="TableGrid"/>
        <w:tblW w:type="auto" w:w="0"/>
        <w:jc w:val="center"/>
        <w:tblLook w:firstColumn="1" w:firstRow="1" w:lastColumn="0" w:lastRow="0" w:noHBand="0" w:noVBand="1" w:val="04A0"/>
      </w:tblPr>
      <w:tblGrid>
        <w:gridCol w:w="4703"/>
        <w:gridCol w:w="4703"/>
      </w:tblGrid>
      <w:tr>
        <w:tc>
          <w:tcPr>
            <w:tcW w:type="dxa" w:w="3118"/>
            <w:shd w:fill="1F4E79" w:val="clear"/>
          </w:tcPr>
          <w:p>
            <w:pPr>
              <w:jc w:val="center"/>
            </w:pPr>
            <w:r/>
            <w:r>
              <w:rPr>
                <w:b/>
                <w:color w:val="FFFFFF"/>
                <w:sz w:val="20"/>
              </w:rPr>
              <w:t>File Name</w:t>
            </w:r>
          </w:p>
        </w:tc>
        <w:tc>
          <w:tcPr>
            <w:tcW w:type="dxa" w:w="6803"/>
            <w:shd w:fill="1F4E79" w:val="clear"/>
          </w:tcPr>
          <w:p>
            <w:pPr>
              <w:jc w:val="center"/>
            </w:pPr>
            <w:r/>
            <w:r>
              <w:rPr>
                <w:b/>
                <w:color w:val="FFFFFF"/>
                <w:sz w:val="20"/>
              </w:rPr>
              <w:t>Description</w:t>
            </w:r>
          </w:p>
        </w:tc>
      </w:tr>
      <w:tr>
        <w:tc>
          <w:tcPr>
            <w:tcW w:type="dxa" w:w="3118"/>
          </w:tcPr>
          <w:p>
            <w:r/>
            <w:r>
              <w:rPr>
                <w:b/>
                <w:color w:val="1F4E79"/>
                <w:sz w:val="19"/>
              </w:rPr>
              <w:t>run_all_frameworks.py</w:t>
            </w:r>
          </w:p>
        </w:tc>
        <w:tc>
          <w:tcPr>
            <w:tcW w:type="dxa" w:w="6803"/>
          </w:tcPr>
          <w:p>
            <w:r/>
            <w:r>
              <w:rPr>
                <w:sz w:val="19"/>
              </w:rPr>
              <w:t>The main orchestration script (~31 KB). Performs the following pipeline:</w:t>
              <w:br/>
              <w:t xml:space="preserve">  1. Reads city coordinates from the input CSV.</w:t>
              <w:br/>
              <w:t xml:space="preserve">  2. Fetches hourly meteorological data (GHI, temperature, humidity, wind speed, rainfall, AOD) from the Open-Meteo API for each city.</w:t>
              <w:br/>
              <w:t xml:space="preserve">  3. Runs all 4 conventional PV loss frameworks (L1: SAPM, L2: CEC, L3: SAM, L4: PVWatts) using the pvlib library.</w:t>
              <w:br/>
              <w:t xml:space="preserve">  4. Computes the L5 Latent Consensus through min-max normalization, neural encoder fusion (4→16→8→1 architecture with sigmoid activation), and inverse mapping.</w:t>
              <w:br/>
              <w:t xml:space="preserve">  5. Invokes the simulation engine for L6 Physics-Guided loss estimation.</w:t>
              <w:br/>
              <w:t xml:space="preserve">  6. Performs the Wilcoxon signed-rank statistical test (L5 vs L6).</w:t>
              <w:br/>
              <w:t xml:space="preserve">  7. Exports all individual and master result CSV files.</w:t>
              <w:br/>
              <w:t>Dependencies: pandas, numpy, pvlib, scipy, requests.</w:t>
            </w:r>
          </w:p>
        </w:tc>
      </w:tr>
      <w:tr>
        <w:tc>
          <w:tcPr>
            <w:tcW w:type="dxa" w:w="3118"/>
            <w:shd w:fill="E8F0FE" w:val="clear"/>
          </w:tcPr>
          <w:p>
            <w:r/>
            <w:r>
              <w:rPr>
                <w:b/>
                <w:color w:val="1F4E79"/>
                <w:sz w:val="19"/>
              </w:rPr>
              <w:t>simulation_engine.py</w:t>
            </w:r>
          </w:p>
        </w:tc>
        <w:tc>
          <w:tcPr>
            <w:tcW w:type="dxa" w:w="6803"/>
            <w:shd w:fill="E8F0FE" w:val="clear"/>
          </w:tcPr>
          <w:p>
            <w:r/>
            <w:r>
              <w:rPr>
                <w:sz w:val="19"/>
              </w:rPr>
              <w:t>Contains the physics-informed Monte Carlo simulation logic for the L6 framework (~18 KB). Implements three core physics models:</w:t>
              <w:br/>
              <w:t xml:space="preserve">  • Soiling Kinetics: Daily dust accumulation proportional to AOD with stochastic rainfall-driven cleaning (sawtooth recovery pattern).</w:t>
              <w:br/>
              <w:t xml:space="preserve">  • Temperature Derating: Cell temperature calculation using NOCT and ambient temperature, with power loss = γ_T × (T_cell − 25°C).</w:t>
              <w:br/>
              <w:t xml:space="preserve">  • Humidity-Driven Degradation: Exponential corrosion risk model based on fraction of days with RH &gt; 70%, with coastal amplification factor.</w:t>
              <w:br/>
              <w:t>Runs 500 Monte Carlo iterations per city for uncertainty quantification.</w:t>
            </w:r>
          </w:p>
        </w:tc>
      </w:tr>
      <w:tr>
        <w:tc>
          <w:tcPr>
            <w:tcW w:type="dxa" w:w="3118"/>
          </w:tcPr>
          <w:p>
            <w:r/>
            <w:r>
              <w:rPr>
                <w:b/>
                <w:color w:val="1F4E79"/>
                <w:sz w:val="19"/>
              </w:rPr>
              <w:t>generate_figures.py</w:t>
            </w:r>
          </w:p>
        </w:tc>
        <w:tc>
          <w:tcPr>
            <w:tcW w:type="dxa" w:w="6803"/>
          </w:tcPr>
          <w:p>
            <w:r/>
            <w:r>
              <w:rPr>
                <w:sz w:val="19"/>
              </w:rPr>
              <w:t>Reproducible figure generation script (~13 KB). Uses matplotlib to programmatically create all 4 data-driven manuscript figures from the computed result CSVs. Generates: (1) framework overview architecture diagram, (2) Shapley feature attribution + L5 vs L6 correlation plot, (3) spatial uncertainty map of India, and (4) soiling kinetic recovery time series for Delhi. The 5th figure (physics mechanisms diagram) is also generated via matplotlib.</w:t>
            </w:r>
          </w:p>
        </w:tc>
      </w:tr>
    </w:tbl>
    <w:p/>
    <w:p>
      <w:pPr>
        <w:pStyle w:val="Heading1"/>
      </w:pPr>
      <w:r>
        <w:rPr>
          <w:color w:val="1F4E79"/>
        </w:rPr>
        <w:t>4. Input Data</w:t>
      </w:r>
    </w:p>
    <w:tbl>
      <w:tblPr>
        <w:tblStyle w:val="TableGrid"/>
        <w:tblW w:type="auto" w:w="0"/>
        <w:jc w:val="center"/>
        <w:tblLook w:firstColumn="1" w:firstRow="1" w:lastColumn="0" w:lastRow="0" w:noHBand="0" w:noVBand="1" w:val="04A0"/>
      </w:tblPr>
      <w:tblGrid>
        <w:gridCol w:w="4703"/>
        <w:gridCol w:w="4703"/>
      </w:tblGrid>
      <w:tr>
        <w:tc>
          <w:tcPr>
            <w:tcW w:type="dxa" w:w="3118"/>
            <w:shd w:fill="1F4E79" w:val="clear"/>
          </w:tcPr>
          <w:p>
            <w:pPr>
              <w:jc w:val="center"/>
            </w:pPr>
            <w:r/>
            <w:r>
              <w:rPr>
                <w:b/>
                <w:color w:val="FFFFFF"/>
                <w:sz w:val="20"/>
              </w:rPr>
              <w:t>File Name</w:t>
            </w:r>
          </w:p>
        </w:tc>
        <w:tc>
          <w:tcPr>
            <w:tcW w:type="dxa" w:w="6803"/>
            <w:shd w:fill="1F4E79" w:val="clear"/>
          </w:tcPr>
          <w:p>
            <w:pPr>
              <w:jc w:val="center"/>
            </w:pPr>
            <w:r/>
            <w:r>
              <w:rPr>
                <w:b/>
                <w:color w:val="FFFFFF"/>
                <w:sz w:val="20"/>
              </w:rPr>
              <w:t>Description</w:t>
            </w:r>
          </w:p>
        </w:tc>
      </w:tr>
      <w:tr>
        <w:tc>
          <w:tcPr>
            <w:tcW w:type="dxa" w:w="3118"/>
          </w:tcPr>
          <w:p>
            <w:r/>
            <w:r>
              <w:rPr>
                <w:b/>
                <w:color w:val="1F4E79"/>
                <w:sz w:val="19"/>
              </w:rPr>
              <w:t>India Cities LatLng.csv</w:t>
            </w:r>
          </w:p>
        </w:tc>
        <w:tc>
          <w:tcPr>
            <w:tcW w:type="dxa" w:w="6803"/>
          </w:tcPr>
          <w:p>
            <w:r/>
            <w:r>
              <w:rPr>
                <w:sz w:val="19"/>
              </w:rPr>
              <w:t>Input dataset containing the names, latitude, longitude, and state/UT information for the 72 Indian cities used in the study. These are the top 3 cities per state/UT by population, ensuring representative spatial coverage across India's diverse climatic zones (arid, tropical, humid subtropical, maritime, montane).</w:t>
            </w:r>
          </w:p>
        </w:tc>
      </w:tr>
    </w:tbl>
    <w:p/>
    <w:p>
      <w:pPr>
        <w:pStyle w:val="Heading1"/>
      </w:pPr>
      <w:r>
        <w:rPr>
          <w:color w:val="1F4E79"/>
        </w:rPr>
        <w:t>5. Output Results (CSV Files)</w:t>
      </w:r>
    </w:p>
    <w:tbl>
      <w:tblPr>
        <w:tblStyle w:val="TableGrid"/>
        <w:tblW w:type="auto" w:w="0"/>
        <w:jc w:val="center"/>
        <w:tblLook w:firstColumn="1" w:firstRow="1" w:lastColumn="0" w:lastRow="0" w:noHBand="0" w:noVBand="1" w:val="04A0"/>
      </w:tblPr>
      <w:tblGrid>
        <w:gridCol w:w="4703"/>
        <w:gridCol w:w="4703"/>
      </w:tblGrid>
      <w:tr>
        <w:tc>
          <w:tcPr>
            <w:tcW w:type="dxa" w:w="3118"/>
            <w:shd w:fill="1F4E79" w:val="clear"/>
          </w:tcPr>
          <w:p>
            <w:pPr>
              <w:jc w:val="center"/>
            </w:pPr>
            <w:r/>
            <w:r>
              <w:rPr>
                <w:b/>
                <w:color w:val="FFFFFF"/>
                <w:sz w:val="20"/>
              </w:rPr>
              <w:t>File Name</w:t>
            </w:r>
          </w:p>
        </w:tc>
        <w:tc>
          <w:tcPr>
            <w:tcW w:type="dxa" w:w="6803"/>
            <w:shd w:fill="1F4E79" w:val="clear"/>
          </w:tcPr>
          <w:p>
            <w:pPr>
              <w:jc w:val="center"/>
            </w:pPr>
            <w:r/>
            <w:r>
              <w:rPr>
                <w:b/>
                <w:color w:val="FFFFFF"/>
                <w:sz w:val="20"/>
              </w:rPr>
              <w:t>Description</w:t>
            </w:r>
          </w:p>
        </w:tc>
      </w:tr>
      <w:tr>
        <w:tc>
          <w:tcPr>
            <w:tcW w:type="dxa" w:w="3118"/>
          </w:tcPr>
          <w:p>
            <w:r/>
            <w:r>
              <w:rPr>
                <w:b/>
                <w:color w:val="1F4E79"/>
                <w:sz w:val="19"/>
              </w:rPr>
              <w:t>results_master_imd.csv</w:t>
            </w:r>
          </w:p>
        </w:tc>
        <w:tc>
          <w:tcPr>
            <w:tcW w:type="dxa" w:w="6803"/>
          </w:tcPr>
          <w:p>
            <w:r/>
            <w:r>
              <w:rPr>
                <w:sz w:val="19"/>
              </w:rPr>
              <w:t>Master consolidated results table. Contains loss estimates from all 6 frameworks (L1–L6) for all 72 cities in a single file. Includes columns for city name, state, latitude, longitude, and the system loss percentage from each framework. This is the primary data file used by the manuscript tables.</w:t>
            </w:r>
          </w:p>
        </w:tc>
      </w:tr>
      <w:tr>
        <w:tc>
          <w:tcPr>
            <w:tcW w:type="dxa" w:w="3118"/>
            <w:shd w:fill="E8F0FE" w:val="clear"/>
          </w:tcPr>
          <w:p>
            <w:r/>
            <w:r>
              <w:rPr>
                <w:b/>
                <w:color w:val="1F4E79"/>
                <w:sz w:val="19"/>
              </w:rPr>
              <w:t>latent_system_loss_india.csv</w:t>
            </w:r>
          </w:p>
        </w:tc>
        <w:tc>
          <w:tcPr>
            <w:tcW w:type="dxa" w:w="6803"/>
            <w:shd w:fill="E8F0FE" w:val="clear"/>
          </w:tcPr>
          <w:p>
            <w:r/>
            <w:r>
              <w:rPr>
                <w:sz w:val="19"/>
              </w:rPr>
              <w:t>Detailed per-city results from the L5 Latent Consensus framework. Includes the individual normalized contributions from SAPM, CEC, SAM, and PVWatts, the encoder fusion output, and the final inverse-mapped latent loss estimate for each of the 72 cities.</w:t>
            </w:r>
          </w:p>
        </w:tc>
      </w:tr>
      <w:tr>
        <w:tc>
          <w:tcPr>
            <w:tcW w:type="dxa" w:w="3118"/>
          </w:tcPr>
          <w:p>
            <w:r/>
            <w:r>
              <w:rPr>
                <w:b/>
                <w:color w:val="1F4E79"/>
                <w:sz w:val="19"/>
              </w:rPr>
              <w:t>L6_spatiotemporal_physics_loss_india.csv</w:t>
            </w:r>
          </w:p>
        </w:tc>
        <w:tc>
          <w:tcPr>
            <w:tcW w:type="dxa" w:w="6803"/>
          </w:tcPr>
          <w:p>
            <w:r/>
            <w:r>
              <w:rPr>
                <w:sz w:val="19"/>
              </w:rPr>
              <w:t>Detailed per-city results from the L6 Physics-Guided framework. Includes the decomposed loss components: temperature derating (%), annual soiling loss (%), humidity stress (%), and the combined total physics-informed loss with Monte Carlo uncertainty bounds (±σ).</w:t>
            </w:r>
          </w:p>
        </w:tc>
      </w:tr>
      <w:tr>
        <w:tc>
          <w:tcPr>
            <w:tcW w:type="dxa" w:w="3118"/>
            <w:shd w:fill="E8F0FE" w:val="clear"/>
          </w:tcPr>
          <w:p>
            <w:r/>
            <w:r>
              <w:rPr>
                <w:b/>
                <w:color w:val="1F4E79"/>
                <w:sz w:val="19"/>
              </w:rPr>
              <w:t>sapm_system_loss_india.csv</w:t>
            </w:r>
          </w:p>
        </w:tc>
        <w:tc>
          <w:tcPr>
            <w:tcW w:type="dxa" w:w="6803"/>
            <w:shd w:fill="E8F0FE" w:val="clear"/>
          </w:tcPr>
          <w:p>
            <w:r/>
            <w:r>
              <w:rPr>
                <w:sz w:val="19"/>
              </w:rPr>
              <w:t>Per-city system loss estimates from L1: Sandia Array Performance Model (SAPM). Uses empirically fitted performance coefficients for module and inverter.</w:t>
            </w:r>
          </w:p>
        </w:tc>
      </w:tr>
      <w:tr>
        <w:tc>
          <w:tcPr>
            <w:tcW w:type="dxa" w:w="3118"/>
          </w:tcPr>
          <w:p>
            <w:r/>
            <w:r>
              <w:rPr>
                <w:b/>
                <w:color w:val="1F4E79"/>
                <w:sz w:val="19"/>
              </w:rPr>
              <w:t>cec_system_loss_india.csv</w:t>
            </w:r>
          </w:p>
        </w:tc>
        <w:tc>
          <w:tcPr>
            <w:tcW w:type="dxa" w:w="6803"/>
          </w:tcPr>
          <w:p>
            <w:r/>
            <w:r>
              <w:rPr>
                <w:sz w:val="19"/>
              </w:rPr>
              <w:t>Per-city system loss estimates from L2: California Energy Commission (CEC) Single-Diode Model. Uses the 5-parameter I–V curve approach with the De Soto method.</w:t>
            </w:r>
          </w:p>
        </w:tc>
      </w:tr>
      <w:tr>
        <w:tc>
          <w:tcPr>
            <w:tcW w:type="dxa" w:w="3118"/>
            <w:shd w:fill="E8F0FE" w:val="clear"/>
          </w:tcPr>
          <w:p>
            <w:r/>
            <w:r>
              <w:rPr>
                <w:b/>
                <w:color w:val="1F4E79"/>
                <w:sz w:val="19"/>
              </w:rPr>
              <w:t>sam_system_loss_india.csv</w:t>
            </w:r>
          </w:p>
        </w:tc>
        <w:tc>
          <w:tcPr>
            <w:tcW w:type="dxa" w:w="6803"/>
            <w:shd w:fill="E8F0FE" w:val="clear"/>
          </w:tcPr>
          <w:p>
            <w:r/>
            <w:r>
              <w:rPr>
                <w:sz w:val="19"/>
              </w:rPr>
              <w:t>Per-city system loss estimates from L3: System Advisor Model (SAM) engineering-grade model. Aggregates component-level losses (wiring, inverter, soiling, shading) into a system-level estimate.</w:t>
            </w:r>
          </w:p>
        </w:tc>
      </w:tr>
      <w:tr>
        <w:tc>
          <w:tcPr>
            <w:tcW w:type="dxa" w:w="3118"/>
          </w:tcPr>
          <w:p>
            <w:r/>
            <w:r>
              <w:rPr>
                <w:b/>
                <w:color w:val="1F4E79"/>
                <w:sz w:val="19"/>
              </w:rPr>
              <w:t>pvwatts_system_loss_india.csv</w:t>
            </w:r>
          </w:p>
        </w:tc>
        <w:tc>
          <w:tcPr>
            <w:tcW w:type="dxa" w:w="6803"/>
          </w:tcPr>
          <w:p>
            <w:r/>
            <w:r>
              <w:rPr>
                <w:sz w:val="19"/>
              </w:rPr>
              <w:t>Per-city system loss estimates from L4: PVWatts (NREL simplified model). Uses the derate-factor approach with default NREL loss assumptions.</w:t>
            </w:r>
          </w:p>
        </w:tc>
      </w:tr>
    </w:tbl>
    <w:p/>
    <w:p>
      <w:pPr>
        <w:pStyle w:val="Heading1"/>
      </w:pPr>
      <w:r>
        <w:rPr>
          <w:color w:val="1F4E79"/>
        </w:rPr>
        <w:t>6. Manuscript Figures (PNG)</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F4E79" w:val="clear"/>
          </w:tcPr>
          <w:p>
            <w:pPr>
              <w:jc w:val="center"/>
            </w:pPr>
            <w:r/>
            <w:r>
              <w:rPr>
                <w:b/>
                <w:color w:val="FFFFFF"/>
                <w:sz w:val="20"/>
              </w:rPr>
              <w:t>File Name</w:t>
            </w:r>
          </w:p>
        </w:tc>
        <w:tc>
          <w:tcPr>
            <w:tcW w:type="dxa" w:w="1701"/>
            <w:shd w:fill="1F4E79" w:val="clear"/>
          </w:tcPr>
          <w:p>
            <w:pPr>
              <w:jc w:val="center"/>
            </w:pPr>
            <w:r/>
            <w:r>
              <w:rPr>
                <w:b/>
                <w:color w:val="FFFFFF"/>
                <w:sz w:val="20"/>
              </w:rPr>
              <w:t>Figure #</w:t>
            </w:r>
          </w:p>
        </w:tc>
        <w:tc>
          <w:tcPr>
            <w:tcW w:type="dxa" w:w="5386"/>
            <w:shd w:fill="1F4E79" w:val="clear"/>
          </w:tcPr>
          <w:p>
            <w:pPr>
              <w:jc w:val="center"/>
            </w:pPr>
            <w:r/>
            <w:r>
              <w:rPr>
                <w:b/>
                <w:color w:val="FFFFFF"/>
                <w:sz w:val="20"/>
              </w:rPr>
              <w:t>Description</w:t>
            </w:r>
          </w:p>
        </w:tc>
      </w:tr>
      <w:tr>
        <w:tc>
          <w:tcPr>
            <w:tcW w:type="dxa" w:w="2835"/>
          </w:tcPr>
          <w:p>
            <w:r/>
            <w:r>
              <w:rPr>
                <w:b/>
                <w:color w:val="1F4E79"/>
                <w:sz w:val="19"/>
              </w:rPr>
              <w:t>framework_overview_diagram</w:t>
              <w:br/>
              <w:t>_1770568706891.png</w:t>
            </w:r>
          </w:p>
        </w:tc>
        <w:tc>
          <w:tcPr>
            <w:tcW w:type="dxa" w:w="1701"/>
          </w:tcPr>
          <w:p>
            <w:r/>
            <w:r>
              <w:rPr>
                <w:sz w:val="19"/>
              </w:rPr>
              <w:t>Figure 1</w:t>
            </w:r>
          </w:p>
        </w:tc>
        <w:tc>
          <w:tcPr>
            <w:tcW w:type="dxa" w:w="5386"/>
          </w:tcPr>
          <w:p>
            <w:r/>
            <w:r>
              <w:rPr>
                <w:sz w:val="19"/>
              </w:rPr>
              <w:t>Multi-Framework Latent Alignment Architecture diagram. Shows the data flow from environmental inputs (GHI, T, RH, Wind) through the 4 conventional frameworks (L1–L4), the neural encoder for latent consensus fusion (L5), the physics-guided pathway (L6), and the Wilcoxon statistical comparison.</w:t>
            </w:r>
          </w:p>
        </w:tc>
      </w:tr>
      <w:tr>
        <w:tc>
          <w:tcPr>
            <w:tcW w:type="dxa" w:w="2835"/>
            <w:shd w:fill="E8F0FE" w:val="clear"/>
          </w:tcPr>
          <w:p>
            <w:r/>
            <w:r>
              <w:rPr>
                <w:b/>
                <w:color w:val="1F4E79"/>
                <w:sz w:val="19"/>
              </w:rPr>
              <w:t>physics_mechanisms_diagram</w:t>
              <w:br/>
              <w:t>_1770568736550.png</w:t>
            </w:r>
          </w:p>
        </w:tc>
        <w:tc>
          <w:tcPr>
            <w:tcW w:type="dxa" w:w="1701"/>
            <w:shd w:fill="E8F0FE" w:val="clear"/>
          </w:tcPr>
          <w:p>
            <w:r/>
            <w:r>
              <w:rPr>
                <w:sz w:val="19"/>
              </w:rPr>
              <w:t>Figure 2</w:t>
            </w:r>
          </w:p>
        </w:tc>
        <w:tc>
          <w:tcPr>
            <w:tcW w:type="dxa" w:w="5386"/>
            <w:shd w:fill="E8F0FE" w:val="clear"/>
          </w:tcPr>
          <w:p>
            <w:r/>
            <w:r>
              <w:rPr>
                <w:sz w:val="19"/>
              </w:rPr>
              <w:t>Three-panel conceptual diagram illustrating the physics mechanisms: (A) Soiling kinetics — dust accumulation with AOD-driven deposition and rainfall cleaning events; (B) Humidity-driven degradation — exponential corrosion risk curves for coastal vs. inland sites; (C) Temperature derating — cell temperature vs. power loss relationship with STC reference.</w:t>
            </w:r>
          </w:p>
        </w:tc>
      </w:tr>
      <w:tr>
        <w:tc>
          <w:tcPr>
            <w:tcW w:type="dxa" w:w="2835"/>
          </w:tcPr>
          <w:p>
            <w:r/>
            <w:r>
              <w:rPr>
                <w:b/>
                <w:color w:val="1F4E79"/>
                <w:sz w:val="19"/>
              </w:rPr>
              <w:t>identifiability_shapley.png</w:t>
            </w:r>
          </w:p>
        </w:tc>
        <w:tc>
          <w:tcPr>
            <w:tcW w:type="dxa" w:w="1701"/>
          </w:tcPr>
          <w:p>
            <w:r/>
            <w:r>
              <w:rPr>
                <w:sz w:val="19"/>
              </w:rPr>
              <w:t>Figure 3</w:t>
            </w:r>
          </w:p>
        </w:tc>
        <w:tc>
          <w:tcPr>
            <w:tcW w:type="dxa" w:w="5386"/>
          </w:tcPr>
          <w:p>
            <w:r/>
            <w:r>
              <w:rPr>
                <w:sz w:val="19"/>
              </w:rPr>
              <w:t>Two-panel analytical figure: (A) Shapley-based feature attribution horizontal bar chart showing relative importance — Temperature 52.2%, Soiling 37.2%, Humidity 7.8%, System Losses 2.9%; (B) L5 vs L6 scatter plot with linear regression showing strong positive correlation (r = 0.90).</w:t>
            </w:r>
          </w:p>
        </w:tc>
      </w:tr>
      <w:tr>
        <w:tc>
          <w:tcPr>
            <w:tcW w:type="dxa" w:w="2835"/>
            <w:shd w:fill="E8F0FE" w:val="clear"/>
          </w:tcPr>
          <w:p>
            <w:r/>
            <w:r>
              <w:rPr>
                <w:b/>
                <w:color w:val="1F4E79"/>
                <w:sz w:val="19"/>
              </w:rPr>
              <w:t>rigorous_uncertainty_map</w:t>
              <w:br/>
              <w:t>_calibrated.png</w:t>
            </w:r>
          </w:p>
        </w:tc>
        <w:tc>
          <w:tcPr>
            <w:tcW w:type="dxa" w:w="1701"/>
            <w:shd w:fill="E8F0FE" w:val="clear"/>
          </w:tcPr>
          <w:p>
            <w:r/>
            <w:r>
              <w:rPr>
                <w:sz w:val="19"/>
              </w:rPr>
              <w:t>Figure 4</w:t>
            </w:r>
          </w:p>
        </w:tc>
        <w:tc>
          <w:tcPr>
            <w:tcW w:type="dxa" w:w="5386"/>
            <w:shd w:fill="E8F0FE" w:val="clear"/>
          </w:tcPr>
          <w:p>
            <w:r/>
            <w:r>
              <w:rPr>
                <w:sz w:val="19"/>
              </w:rPr>
              <w:t>Two-panel spatial map of India with state boundaries: (A) Physics-informed latent loss (%) at all 72 cities, color-coded from ~15% to ~23%; (B) Inter-framework uncertainty (standard deviation σ) across all 6 frameworks, showing higher disagreement in southern coastal regions.</w:t>
            </w:r>
          </w:p>
        </w:tc>
      </w:tr>
      <w:tr>
        <w:tc>
          <w:tcPr>
            <w:tcW w:type="dxa" w:w="2835"/>
          </w:tcPr>
          <w:p>
            <w:r/>
            <w:r>
              <w:rPr>
                <w:b/>
                <w:color w:val="1F4E79"/>
                <w:sz w:val="19"/>
              </w:rPr>
              <w:t>kinetic_recovery.png</w:t>
            </w:r>
          </w:p>
        </w:tc>
        <w:tc>
          <w:tcPr>
            <w:tcW w:type="dxa" w:w="1701"/>
          </w:tcPr>
          <w:p>
            <w:r/>
            <w:r>
              <w:rPr>
                <w:sz w:val="19"/>
              </w:rPr>
              <w:t>Figure 5</w:t>
            </w:r>
          </w:p>
        </w:tc>
        <w:tc>
          <w:tcPr>
            <w:tcW w:type="dxa" w:w="5386"/>
          </w:tcPr>
          <w:p>
            <w:r/>
            <w:r>
              <w:rPr>
                <w:sz w:val="19"/>
              </w:rPr>
              <w:t>Two-panel time series for Delhi (2023): (A) Soiling loss sawtooth profile showing dust accumulation and rain-cleaning recovery events, with monsoon season (June–September) highlighted; (B) Corresponding daily rainfall data driving the cleaning events.</w:t>
            </w:r>
          </w:p>
        </w:tc>
      </w:tr>
    </w:tbl>
    <w:p/>
    <w:p>
      <w:pPr>
        <w:pStyle w:val="Heading1"/>
      </w:pPr>
      <w:r>
        <w:rPr>
          <w:color w:val="1F4E79"/>
        </w:rPr>
        <w:t>7. Jupyter Notebook</w:t>
      </w:r>
    </w:p>
    <w:tbl>
      <w:tblPr>
        <w:tblStyle w:val="TableGrid"/>
        <w:tblW w:type="auto" w:w="0"/>
        <w:jc w:val="center"/>
        <w:tblLook w:firstColumn="1" w:firstRow="1" w:lastColumn="0" w:lastRow="0" w:noHBand="0" w:noVBand="1" w:val="04A0"/>
      </w:tblPr>
      <w:tblGrid>
        <w:gridCol w:w="4703"/>
        <w:gridCol w:w="4703"/>
      </w:tblGrid>
      <w:tr>
        <w:tc>
          <w:tcPr>
            <w:tcW w:type="dxa" w:w="3118"/>
            <w:shd w:fill="1F4E79" w:val="clear"/>
          </w:tcPr>
          <w:p>
            <w:pPr>
              <w:jc w:val="center"/>
            </w:pPr>
            <w:r/>
            <w:r>
              <w:rPr>
                <w:b/>
                <w:color w:val="FFFFFF"/>
                <w:sz w:val="20"/>
              </w:rPr>
              <w:t>File Name</w:t>
            </w:r>
          </w:p>
        </w:tc>
        <w:tc>
          <w:tcPr>
            <w:tcW w:type="dxa" w:w="6803"/>
            <w:shd w:fill="1F4E79" w:val="clear"/>
          </w:tcPr>
          <w:p>
            <w:pPr>
              <w:jc w:val="center"/>
            </w:pPr>
            <w:r/>
            <w:r>
              <w:rPr>
                <w:b/>
                <w:color w:val="FFFFFF"/>
                <w:sz w:val="20"/>
              </w:rPr>
              <w:t>Description</w:t>
            </w:r>
          </w:p>
        </w:tc>
      </w:tr>
      <w:tr>
        <w:tc>
          <w:tcPr>
            <w:tcW w:type="dxa" w:w="3118"/>
          </w:tcPr>
          <w:p>
            <w:r/>
            <w:r>
              <w:rPr>
                <w:b/>
                <w:color w:val="1F4E79"/>
                <w:sz w:val="19"/>
              </w:rPr>
              <w:t>System_Losses_Extimation.ipynb</w:t>
            </w:r>
          </w:p>
        </w:tc>
        <w:tc>
          <w:tcPr>
            <w:tcW w:type="dxa" w:w="6803"/>
          </w:tcPr>
          <w:p>
            <w:r/>
            <w:r>
              <w:rPr>
                <w:sz w:val="19"/>
              </w:rPr>
              <w:t>Interactive Jupyter notebook providing a step-by-step walkthrough of the entire analysis pipeline — from data loading and meteorological data retrieval, through framework execution (L1–L6), to result visualization. Includes inline plots and commentary. Useful for exploration, demonstration, and academic presentation purposes.</w:t>
            </w:r>
          </w:p>
        </w:tc>
      </w:tr>
    </w:tbl>
    <w:p/>
    <w:p>
      <w:pPr>
        <w:pStyle w:val="Heading1"/>
      </w:pPr>
      <w:r>
        <w:rPr>
          <w:color w:val="1F4E79"/>
        </w:rPr>
        <w:t>8. How to Reproduce the Results</w:t>
      </w:r>
    </w:p>
    <w:p>
      <w:r>
        <w:rPr>
          <w:b/>
          <w:sz w:val="21"/>
        </w:rPr>
        <w:t>Step 1 — Install Dependencies:</w:t>
      </w:r>
    </w:p>
    <w:p>
      <w:pPr>
        <w:spacing w:after="160"/>
        <w:ind w:left="567"/>
      </w:pPr>
      <w:r>
        <w:rPr>
          <w:rFonts w:ascii="Consolas" w:hAnsi="Consolas"/>
          <w:sz w:val="20"/>
        </w:rPr>
        <w:t>pip install pandas numpy pvlib scipy matplotlib requests</w:t>
      </w:r>
    </w:p>
    <w:p>
      <w:r>
        <w:rPr>
          <w:b/>
          <w:sz w:val="21"/>
        </w:rPr>
        <w:t>Step 2 — Run All Frameworks:</w:t>
      </w:r>
    </w:p>
    <w:p>
      <w:pPr>
        <w:spacing w:after="160"/>
        <w:ind w:left="567"/>
      </w:pPr>
      <w:r>
        <w:rPr>
          <w:rFonts w:ascii="Consolas" w:hAnsi="Consolas"/>
          <w:sz w:val="20"/>
        </w:rPr>
        <w:t>python run_all_frameworks.py</w:t>
        <w:br/>
        <w:t>This fetches meteorological data and generates all result CSV files.</w:t>
      </w:r>
    </w:p>
    <w:p>
      <w:r>
        <w:rPr>
          <w:b/>
          <w:sz w:val="21"/>
        </w:rPr>
        <w:t>Step 3 — Generate Figures:</w:t>
      </w:r>
    </w:p>
    <w:p>
      <w:pPr>
        <w:spacing w:after="160"/>
        <w:ind w:left="567"/>
      </w:pPr>
      <w:r>
        <w:rPr>
          <w:rFonts w:ascii="Consolas" w:hAnsi="Consolas"/>
          <w:sz w:val="20"/>
        </w:rPr>
        <w:t>python generate_figures.py</w:t>
        <w:br/>
        <w:t>This reads the result CSVs and produces all 5 manuscript figures as PNG files.</w:t>
      </w:r>
    </w:p>
    <w:p>
      <w:r>
        <w:rPr>
          <w:b/>
          <w:sz w:val="21"/>
        </w:rPr>
        <w:t>Step 4 — Compile LaTeX Manuscript:</w:t>
      </w:r>
    </w:p>
    <w:p>
      <w:pPr>
        <w:spacing w:after="160"/>
        <w:ind w:left="567"/>
      </w:pPr>
      <w:r>
        <w:rPr>
          <w:rFonts w:ascii="Consolas" w:hAnsi="Consolas"/>
          <w:sz w:val="20"/>
        </w:rPr>
        <w:t>pdflatex Manuscript.tex</w:t>
        <w:br/>
        <w:t>bibtex Manuscript</w:t>
        <w:br/>
        <w:t>pdflatex Manuscript.tex</w:t>
        <w:br/>
        <w:t>pdflatex Manuscript.tex</w:t>
        <w:br/>
        <w:t>This produces the final Manuscript.pdf with all tables, figures, and references.</w:t>
      </w:r>
    </w:p>
    <w:p/>
    <w:p>
      <w:pPr>
        <w:pStyle w:val="Heading1"/>
      </w:pPr>
      <w:r>
        <w:rPr>
          <w:color w:val="1F4E79"/>
        </w:rPr>
        <w:t>9. File Summary</w:t>
      </w:r>
    </w:p>
    <w:p>
      <w:r>
        <w:rPr>
          <w:b/>
          <w:sz w:val="20"/>
        </w:rPr>
        <w:t xml:space="preserve">Total files: 19  |  </w:t>
      </w:r>
      <w:r>
        <w:rPr>
          <w:sz w:val="20"/>
        </w:rPr>
        <w:t>LaTeX: 2  •  Python Scripts: 3  •  Input CSV: 1  •  Output CSVs: 7  •  Figures: 5  •  Notebook: 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