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A1A1A"/>
          <w:sz w:val="32"/>
        </w:rPr>
        <w:t>Executive Summary</w:t>
      </w:r>
    </w:p>
    <w:p>
      <w:pPr>
        <w:spacing w:after="100"/>
      </w:pPr>
      <w:r>
        <w:rPr>
          <w:color w:val="555555"/>
          <w:sz w:val="17"/>
        </w:rPr>
        <w:t>Lartisien Collection — ML Rate Intelligence (v2)  ·  Minka Borec · MADA 2025  ·  July 2026</w:t>
      </w:r>
    </w:p>
    <w:p>
      <w:pPr>
        <w:spacing w:before="120" w:after="40"/>
      </w:pPr>
      <w:r>
        <w:rPr>
          <w:b/>
          <w:color w:val="C9A02C"/>
          <w:sz w:val="22"/>
        </w:rPr>
        <w:t>The Question</w:t>
      </w:r>
    </w:p>
    <w:p>
      <w:pPr>
        <w:spacing w:after="80" w:line="252" w:lineRule="auto"/>
      </w:pPr>
      <w:r>
        <w:rPr>
          <w:sz w:val="19"/>
        </w:rPr>
        <w:t>Can we tell a Lartisien Voyager traveller when a property is entering a low-demand window — lower price, higher room availability, more space and privacy — for a given hotel, month, and room type? We answer this with two predictions: a Premium/Standard tier (a proxy for high- vs. low-demand periods) and the estimated nightly rate in EUR.</w:t>
      </w:r>
    </w:p>
    <w:p>
      <w:pPr>
        <w:spacing w:before="120" w:after="40"/>
      </w:pPr>
      <w:r>
        <w:rPr>
          <w:b/>
          <w:color w:val="C9A02C"/>
          <w:sz w:val="22"/>
        </w:rPr>
        <w:t>Why This Matters</w:t>
      </w:r>
    </w:p>
    <w:p>
      <w:pPr>
        <w:spacing w:after="80" w:line="252" w:lineRule="auto"/>
      </w:pPr>
      <w:r>
        <w:rPr>
          <w:sz w:val="19"/>
        </w:rPr>
        <w:t>Off-season travel at a luxury property isn't just cheaper — it's a different experience: lower occupancy means more attentive staff, more privacy, and a more exclusive stay. A traveller who knows when a hotel enters its quiet season can get the same room for less, with more space around them.</w:t>
      </w:r>
    </w:p>
    <w:p>
      <w:pPr>
        <w:spacing w:before="120" w:after="40"/>
      </w:pPr>
      <w:r>
        <w:rPr>
          <w:b/>
          <w:color w:val="C9A02C"/>
          <w:sz w:val="22"/>
        </w:rPr>
        <w:t>What We Did</w:t>
      </w:r>
    </w:p>
    <w:p>
      <w:pPr>
        <w:spacing w:after="80" w:line="252" w:lineRule="auto"/>
      </w:pPr>
      <w:r>
        <w:rPr>
          <w:sz w:val="19"/>
        </w:rPr>
        <w:t>We used pricing data for 24 Lartisien Collection properties across 6 room categories and 10 sample dates each — 1,440 observations after removing 2 statistical outlier hotels (median rates 2–3× the rest of the portfolio, via IQR fencing) that would have caused the model to memorise individual brands rather than learn general pricing logic. We engineered 7 interpretable features (room tier, hotel tier, cyclic seasonality, Christmas proximity, school holidays, resort type).</w:t>
      </w:r>
    </w:p>
    <w:p>
      <w:pPr>
        <w:spacing w:after="80" w:line="252" w:lineRule="auto"/>
      </w:pPr>
      <w:r>
        <w:rPr>
          <w:sz w:val="19"/>
        </w:rPr>
        <w:t>Method safeguards:</w:t>
      </w:r>
    </w:p>
    <w:p>
      <w:pPr>
        <w:pStyle w:val="ListBullet"/>
        <w:spacing w:after="40" w:line="252" w:lineRule="auto"/>
      </w:pPr>
      <w:r>
        <w:rPr>
          <w:b/>
          <w:sz w:val="19"/>
        </w:rPr>
        <w:t xml:space="preserve">No leakage: </w:t>
      </w:r>
      <w:r>
        <w:rPr>
          <w:sz w:val="19"/>
        </w:rPr>
        <w:t>train/test split happens first (80/20, stratified); scaling and encoding are fitted inside a scikit-learn Pipeline on the training data only.</w:t>
      </w:r>
    </w:p>
    <w:p>
      <w:pPr>
        <w:pStyle w:val="ListBullet"/>
        <w:spacing w:after="40" w:line="252" w:lineRule="auto"/>
      </w:pPr>
      <w:r>
        <w:rPr>
          <w:b/>
          <w:sz w:val="19"/>
        </w:rPr>
        <w:t xml:space="preserve">Independent features: </w:t>
      </w:r>
      <w:r>
        <w:rPr>
          <w:sz w:val="19"/>
        </w:rPr>
        <w:t>every feature was checked for collinearity (VIF); all score below the VIF=10 threshold except hotel tier (6.66), investigated and kept deliberately (see below).</w:t>
      </w:r>
    </w:p>
    <w:p>
      <w:pPr>
        <w:pStyle w:val="ListBullet"/>
        <w:spacing w:after="40" w:line="252" w:lineRule="auto"/>
      </w:pPr>
      <w:r>
        <w:rPr>
          <w:b/>
          <w:sz w:val="19"/>
        </w:rPr>
        <w:t xml:space="preserve">Right metric for this data: </w:t>
      </w:r>
      <w:r>
        <w:rPr>
          <w:sz w:val="19"/>
        </w:rPr>
        <w:t>the classification target is imbalanced (~35/65), so F1-macro — not accuracy — is primary; for rates, MAE (€1,677) is the business-readable, same-unit figure, robust to a few very expensive Presidential Suite outliers.</w:t>
      </w:r>
    </w:p>
    <w:p>
      <w:pPr>
        <w:spacing w:before="120" w:after="40"/>
      </w:pPr>
      <w:r>
        <w:rPr>
          <w:b/>
          <w:color w:val="C9A02C"/>
          <w:sz w:val="22"/>
        </w:rPr>
        <w:t>What We Found</w:t>
      </w:r>
    </w:p>
    <w:p>
      <w:pPr>
        <w:pStyle w:val="ListBullet"/>
        <w:spacing w:after="40" w:line="252" w:lineRule="auto"/>
      </w:pPr>
      <w:r>
        <w:rPr>
          <w:b/>
          <w:sz w:val="19"/>
        </w:rPr>
        <w:t xml:space="preserve">Tier classification: </w:t>
      </w:r>
      <w:r>
        <w:rPr>
          <w:sz w:val="19"/>
        </w:rPr>
        <w:t>XGBoost — F1=0.805, AUC=0.905, beating a majority-class baseline by 45 points.</w:t>
      </w:r>
    </w:p>
    <w:p>
      <w:pPr>
        <w:pStyle w:val="ListBullet"/>
        <w:spacing w:after="40" w:line="252" w:lineRule="auto"/>
      </w:pPr>
      <w:r>
        <w:rPr>
          <w:b/>
          <w:sz w:val="19"/>
        </w:rPr>
        <w:t xml:space="preserve">Rate prediction: </w:t>
      </w:r>
      <w:r>
        <w:rPr>
          <w:sz w:val="19"/>
        </w:rPr>
        <w:t>Gradient Boosting — R²=0.736, MAE=€1,677, RMSE=€2,741.</w:t>
      </w:r>
    </w:p>
    <w:p>
      <w:pPr>
        <w:pStyle w:val="ListBullet"/>
        <w:spacing w:after="40" w:line="252" w:lineRule="auto"/>
      </w:pPr>
      <w:r>
        <w:rPr>
          <w:b/>
          <w:sz w:val="19"/>
        </w:rPr>
        <w:t xml:space="preserve">Top pricing drivers: </w:t>
      </w:r>
      <w:r>
        <w:rPr>
          <w:sz w:val="19"/>
        </w:rPr>
        <w:t>room category (44%), hotel tier (13%), Christmas proximity (11%), cyclic seasonality (~12%).</w:t>
      </w:r>
    </w:p>
    <w:p>
      <w:pPr>
        <w:spacing w:before="120" w:after="40"/>
      </w:pPr>
      <w:r>
        <w:rPr>
          <w:b/>
          <w:color w:val="C9A02C"/>
          <w:sz w:val="22"/>
        </w:rPr>
        <w:t>How We Solved Overfitting</w:t>
      </w:r>
    </w:p>
    <w:p>
      <w:pPr>
        <w:spacing w:after="80" w:line="252" w:lineRule="auto"/>
      </w:pPr>
      <w:r>
        <w:rPr>
          <w:b/>
          <w:sz w:val="19"/>
        </w:rPr>
        <w:t xml:space="preserve">First, </w:t>
      </w:r>
      <w:r>
        <w:rPr>
          <w:sz w:val="19"/>
        </w:rPr>
      </w:r>
      <w:r>
        <w:rPr>
          <w:sz w:val="19"/>
        </w:rPr>
        <w:t>we measured it and removed it where we could: an unconstrained Decision Tree hits a perfect Train F1=1.000 but only 0.719 on test — a 0.14 gap, textbook memorisation. Capping GradBoost/XGBoost at a shallow max_depth=3 (a deliberate regularisation choice, not an automatic search) brought that gap down to 0.06–0.07 — about a fifth the size — while still beating every simpler model on test performance.</w:t>
      </w:r>
    </w:p>
    <w:p>
      <w:pPr>
        <w:spacing w:after="80" w:line="252" w:lineRule="auto"/>
      </w:pPr>
      <w:r>
        <w:rPr>
          <w:b/>
          <w:sz w:val="19"/>
        </w:rPr>
        <w:t xml:space="preserve">Then, </w:t>
      </w:r>
      <w:r>
        <w:rPr>
          <w:sz w:val="19"/>
        </w:rPr>
      </w:r>
      <w:r>
        <w:rPr>
          <w:sz w:val="19"/>
        </w:rPr>
        <w:t>we recognised the remaining risk matters less than it looks: this model only has to price the 24 known Lartisien Collection hotels, never an unfamiliar brand — a narrower target than a general-purpose model. That said, “how exclusive is the hotel” is built from very few hotels per tier (10 / 8 / 6 hotels in tiers 1/2/3) and carries the highest VIF (6.66) in the feature set, so tier-based generalisation to a brand-new, unlisted property should be treated as directional, not certain.</w:t>
      </w:r>
    </w:p>
    <w:p>
      <w:pPr>
        <w:spacing w:before="120" w:after="40"/>
      </w:pPr>
      <w:r>
        <w:rPr>
          <w:b/>
          <w:color w:val="C9A02C"/>
          <w:sz w:val="22"/>
        </w:rPr>
        <w:t>What We Recommend</w:t>
      </w:r>
    </w:p>
    <w:p>
      <w:pPr>
        <w:pStyle w:val="ListBullet"/>
        <w:spacing w:after="40" w:line="252" w:lineRule="auto"/>
      </w:pPr>
      <w:r>
        <w:rPr>
          <w:b/>
          <w:sz w:val="19"/>
        </w:rPr>
        <w:t xml:space="preserve">Use this for: </w:t>
      </w:r>
      <w:r>
        <w:rPr>
          <w:sz w:val="19"/>
        </w:rPr>
        <w:t>individual Lartisien Voyager members planning their own trip — finding the month a favourite property is likely to be quieter and better priced, so they can enjoy the same room for less, with more attentive service and fewer crowds.</w:t>
      </w:r>
    </w:p>
    <w:p>
      <w:pPr>
        <w:pStyle w:val="ListBullet"/>
        <w:spacing w:after="40" w:line="252" w:lineRule="auto"/>
      </w:pPr>
      <w:r>
        <w:rPr>
          <w:b/>
          <w:sz w:val="19"/>
        </w:rPr>
        <w:t xml:space="preserve">Don't use this for: </w:t>
      </w:r>
      <w:r>
        <w:rPr>
          <w:sz w:val="19"/>
        </w:rPr>
        <w:t>real-time pricing, hotels outside this 24-property portfolio, or firm quotes on Presidential Suites (highest-uncertainty tier).</w:t>
      </w:r>
    </w:p>
    <w:p>
      <w:pPr>
        <w:spacing w:before="120" w:after="40"/>
      </w:pPr>
      <w:r>
        <w:rPr>
          <w:b/>
          <w:color w:val="C9A02C"/>
          <w:sz w:val="22"/>
        </w:rPr>
        <w:t>The App</w:t>
      </w:r>
    </w:p>
    <w:p>
      <w:pPr>
        <w:spacing w:after="80" w:line="252" w:lineRule="auto"/>
      </w:pPr>
      <w:r>
        <w:rPr>
          <w:sz w:val="19"/>
        </w:rPr>
        <w:t>Live at lartisien-aruni999.vercel.app — select a hotel, month, and room category for an instant tier + rate estimate (1,728 pre-computed predictions, no backend needed). In plain language: a €3,500/night estimate most likely means a real price between €2,300–€4,800, and the Premium/Standard tier call is right about 9 times in 10.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