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"/>
        <w:jc w:val="center"/>
      </w:pPr>
      <w:r>
        <w:drawing>
          <wp:inline distT="0" distB="0" distL="0" distR="0">
            <wp:extent cx="13335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0f172a"/>
          <w:sz w:val="48"/>
          <w:szCs w:val="48"/>
        </w:rPr>
        <w:t xml:space="preserve">ARUN CODEX</w:t>
      </w:r>
    </w:p>
    <w:p>
      <w:pPr>
        <w:spacing w:after="500"/>
        <w:jc w:val="center"/>
      </w:pPr>
      <w:r>
        <w:rPr>
          <w:b/>
          <w:bCs/>
          <w:color w:val="005a9c"/>
          <w:sz w:val="22"/>
          <w:szCs w:val="22"/>
        </w:rPr>
        <w:t xml:space="preserve">WEB DEVELOPER | DESIGNER | INNOVATOR</w:t>
      </w:r>
    </w:p>
    <w:p>
      <w:pPr>
        <w:spacing w:after="120" w:before="350"/>
        <w:jc w:val="center"/>
      </w:pPr>
      <w:r>
        <w:rPr>
          <w:b/>
          <w:bCs/>
          <w:color w:val="003e6b"/>
          <w:sz w:val="36"/>
          <w:szCs w:val="36"/>
        </w:rPr>
        <w:t xml:space="preserve">GUDI CHEMICALS ERP USER MANUAL</w:t>
      </w:r>
    </w:p>
    <w:p>
      <w:pPr>
        <w:spacing w:after="700"/>
        <w:jc w:val="center"/>
      </w:pPr>
      <w:r>
        <w:rPr>
          <w:i/>
          <w:iCs/>
          <w:color w:val="475569"/>
          <w:sz w:val="23"/>
          <w:szCs w:val="23"/>
        </w:rPr>
        <w:t xml:space="preserve">Complete Step-by-Step Operations Guide with Live Screen Visuals for All Modules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2377"/>
        <w:gridCol w:w="2377"/>
        <w:gridCol w:w="2377"/>
      </w:tblGrid>
      <w:tr>
        <w:tc>
          <w:tcPr>
            <w:shd w:fill="f1f5f9" w:val="clear"/>
          </w:tcPr>
          <w:p>
            <w:r>
              <w:rPr>
                <w:b/>
                <w:bCs/>
              </w:rPr>
              <w:t xml:space="preserve">Target Enterprise:</w:t>
            </w:r>
          </w:p>
        </w:tc>
        <w:tc>
          <w:p>
            <w:r>
              <w:t xml:space="preserve">Gudi Chemicals (Coimbatore, Tamil Nadu)</w:t>
            </w:r>
          </w:p>
        </w:tc>
        <w:tc>
          <w:tcPr>
            <w:shd w:fill="f1f5f9" w:val="clear"/>
          </w:tcPr>
          <w:p>
            <w:r>
              <w:rPr>
                <w:b/>
                <w:bCs/>
              </w:rPr>
              <w:t xml:space="preserve">Author &amp; Designer:</w:t>
            </w:r>
          </w:p>
        </w:tc>
        <w:tc>
          <w:p>
            <w:r>
              <w:rPr>
                <w:b/>
                <w:bCs/>
                <w:color w:val="005a9c"/>
              </w:rPr>
              <w:t xml:space="preserve">ARUN CODEX</w:t>
            </w:r>
          </w:p>
        </w:tc>
      </w:tr>
      <w:tr>
        <w:tc>
          <w:tcPr>
            <w:shd w:fill="f1f5f9" w:val="clear"/>
          </w:tcPr>
          <w:p>
            <w:r>
              <w:rPr>
                <w:b/>
                <w:bCs/>
              </w:rPr>
              <w:t xml:space="preserve">Address:</w:t>
            </w:r>
          </w:p>
        </w:tc>
        <w:tc>
          <w:p>
            <w:r>
              <w:t xml:space="preserve">Spic, Thenkarai, Tamil Nadu 641010</w:t>
            </w:r>
          </w:p>
        </w:tc>
        <w:tc>
          <w:tcPr>
            <w:shd w:fill="f1f5f9" w:val="clear"/>
          </w:tcPr>
          <w:p>
            <w:r>
              <w:rPr>
                <w:b/>
                <w:bCs/>
              </w:rPr>
              <w:t xml:space="preserve">Hours &amp; Tax:</w:t>
            </w:r>
          </w:p>
        </w:tc>
        <w:tc>
          <w:p>
            <w:r>
              <w:t xml:space="preserve">9:00am–6:30pm | TN Code 33</w:t>
            </w:r>
          </w:p>
        </w:tc>
      </w:tr>
    </w:tbl>
    <w:p>
      <w:pPr>
        <w:sectPr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Chapter 1: User Login &amp; Session Security</w:t>
      </w:r>
    </w:p>
    <w:p>
      <w:r>
        <w:t xml:space="preserve">To log in, open your browser and go to your ERP address (http://127.0.0.1:8000/login). Enter your assigned email address and password to sign in safely.</w:t>
      </w:r>
    </w:p>
    <w:p>
      <w:pPr>
        <w:spacing w:after="60" w:before="180"/>
        <w:jc w:val="center"/>
      </w:pPr>
      <w:r>
        <w:drawing>
          <wp:inline distT="0" distB="0" distL="0" distR="0">
            <wp:extent cx="4762500" cy="2667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Figure 1.1: Secure User Login Screen with Input Credentials</w:t>
      </w:r>
    </w:p>
    <w:p>
      <w:pPr>
        <w:pStyle w:val="Heading1"/>
      </w:pPr>
      <w:r>
        <w:t xml:space="preserve">Chapter 2: Executive Operational Dashboard</w:t>
      </w:r>
    </w:p>
    <w:p>
      <w:r>
        <w:t xml:space="preserve">The Dashboard displays your daily turnover, total invoices generated, low stock alerts, and interactive revenue velocity charts.</w:t>
      </w:r>
    </w:p>
    <w:p>
      <w:pPr>
        <w:spacing w:after="60" w:before="180"/>
        <w:jc w:val="center"/>
      </w:pPr>
      <w:r>
        <w:drawing>
          <wp:inline distT="0" distB="0" distL="0" distR="0">
            <wp:extent cx="5048250" cy="27622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Figure 2.1: Operational Dashboard with Live Revenue KPIs and Low Stock Alerts</w:t>
      </w:r>
    </w:p>
    <w:p>
      <w:pPr>
        <w:pStyle w:val="Heading1"/>
      </w:pPr>
      <w:r>
        <w:t xml:space="preserve">Chapter 3: High-Speed POS Fast Billing Desk</w:t>
      </w:r>
    </w:p>
    <w:p>
      <w:r>
        <w:t xml:space="preserve">The single-screen POS desk lets cashiers scan barcodes, search items (F2), select retail or wholesale customers (F4), switch price tiers (F7), and checkout with cash (F8).</w:t>
      </w:r>
    </w:p>
    <w:p>
      <w:pPr>
        <w:spacing w:after="60" w:before="180"/>
        <w:jc w:val="center"/>
      </w:pPr>
      <w:r>
        <w:drawing>
          <wp:inline distT="0" distB="0" distL="0" distR="0">
            <wp:extent cx="5048250" cy="27622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Figure 3.1: POS Billing Screen with Product Catalog Grid and Live Order Cart</w:t>
      </w:r>
    </w:p>
    <w:p>
      <w:pPr>
        <w:pStyle w:val="Heading1"/>
      </w:pPr>
      <w:r>
        <w:t xml:space="preserve">Chapter 4: POS Cash Checkout &amp; Change Due</w:t>
      </w:r>
    </w:p>
    <w:p>
      <w:r>
        <w:t xml:space="preserve">In the payment modal, entering Cash Tendered automatically computes exact Change Due for the customer in bold green numerals. Clicking Complete opens the cash drawer and prints the receipt.</w:t>
      </w:r>
    </w:p>
    <w:p>
      <w:pPr>
        <w:spacing w:after="60" w:before="180"/>
        <w:jc w:val="center"/>
      </w:pPr>
      <w:r>
        <w:drawing>
          <wp:inline distT="0" distB="0" distL="0" distR="0">
            <wp:extent cx="4762500" cy="29527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Figure 4.1: Cash Payment Modal showing Net Payable, Cash Tendered, and Change Due</w:t>
      </w:r>
    </w:p>
    <w:p>
      <w:pPr>
        <w:pStyle w:val="Heading1"/>
      </w:pPr>
      <w:r>
        <w:t xml:space="preserve">Chapter 5: Sales Invoices Register &amp; Shift Log</w:t>
      </w:r>
    </w:p>
    <w:p>
      <w:r>
        <w:t xml:space="preserve">The Invoices screen maintains a searchable register of all posted tax invoices with one-click actions for Thermal Print, A4 Tax Print, and PDF download.</w:t>
      </w:r>
    </w:p>
    <w:p>
      <w:pPr>
        <w:spacing w:after="60" w:before="180"/>
        <w:jc w:val="center"/>
      </w:pPr>
      <w:r>
        <w:drawing>
          <wp:inline distT="0" distB="0" distL="0" distR="0">
            <wp:extent cx="5048250" cy="27622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Figure 5.1: Invoices Register with Real-Time Filters and Printing Actions</w:t>
      </w:r>
    </w:p>
    <w:p>
      <w:pPr>
        <w:pStyle w:val="Heading1"/>
      </w:pPr>
      <w:r>
        <w:t xml:space="preserve">Chapter 6: Detailed Invoice View &amp; Action Center</w:t>
      </w:r>
    </w:p>
    <w:p>
      <w:r>
        <w:t xml:space="preserve">Displays line-by-line itemization, CGST/SGST tax breakdown, customer address, payment settlement records, and linked inventory movement logs.</w:t>
      </w:r>
    </w:p>
    <w:p>
      <w:pPr>
        <w:spacing w:after="60" w:before="180"/>
        <w:jc w:val="center"/>
      </w:pPr>
      <w:r>
        <w:drawing>
          <wp:inline distT="0" distB="0" distL="0" distR="0">
            <wp:extent cx="5048250" cy="27622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Figure 6.1: Detailed Invoice Management Screen with Audit Records</w:t>
      </w:r>
    </w:p>
    <w:p>
      <w:pPr>
        <w:pStyle w:val="Heading1"/>
      </w:pPr>
      <w:r>
        <w:t xml:space="preserve">Chapter 7: Dual-Format Print Engine (A4 &amp; Thermal)</w:t>
      </w:r>
    </w:p>
    <w:p>
      <w:r>
        <w:t xml:space="preserve">Supports 80mm high-speed thermal counter slips and formal 3-copy commercial A4 GST tax invoices compliant with Rule 46 of the CGST Rules.</w:t>
      </w:r>
    </w:p>
    <w:p>
      <w:pPr>
        <w:spacing w:after="60" w:before="180"/>
        <w:jc w:val="center"/>
      </w:pPr>
      <w:r>
        <w:drawing>
          <wp:inline distT="0" distB="0" distL="0" distR="0">
            <wp:extent cx="4762500" cy="32385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Figure 7.1: Standard A4 GST Tax Invoice Print Preview with Full HSN Distribution</w:t>
      </w:r>
    </w:p>
    <w:p>
      <w:pPr>
        <w:pStyle w:val="Heading1"/>
      </w:pPr>
      <w:r>
        <w:t xml:space="preserve">Chapter 8: Chemical Products Master Catalog</w:t>
      </w:r>
    </w:p>
    <w:p>
      <w:r>
        <w:t xml:space="preserve">Manage Floor Cleaners, Toilet Cleaners, Degreasers, Packaging Jerry Cans, and Raw Chemicals with dual pricing (Retail RSP vs Wholesale WSP).</w:t>
      </w:r>
    </w:p>
    <w:p>
      <w:pPr>
        <w:spacing w:after="60" w:before="180"/>
        <w:jc w:val="center"/>
      </w:pPr>
      <w:r>
        <w:drawing>
          <wp:inline distT="0" distB="0" distL="0" distR="0">
            <wp:extent cx="5048250" cy="27622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Figure 8.1: Products Master Catalog with Dual Pricing and Stock Quantities</w:t>
      </w:r>
    </w:p>
    <w:p>
      <w:pPr>
        <w:pStyle w:val="Heading1"/>
      </w:pPr>
      <w:r>
        <w:t xml:space="preserve">Chapter 9: Multi-Tier Chemical Inventory &amp; Stock Ledgers</w:t>
      </w:r>
    </w:p>
    <w:p>
      <w:r>
        <w:t xml:space="preserve">Real-time warehouse inventory balances, batch lot numbers, manufacturing and expiry dates, and an immutable movement ledger.</w:t>
      </w:r>
    </w:p>
    <w:p>
      <w:pPr>
        <w:spacing w:after="60" w:before="180"/>
        <w:jc w:val="center"/>
      </w:pPr>
      <w:r>
        <w:drawing>
          <wp:inline distT="0" distB="0" distL="0" distR="0">
            <wp:extent cx="5048250" cy="27622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Figure 9.1: Multi-Tier Inventory Status and Batch Valuation Screen</w:t>
      </w:r>
    </w:p>
    <w:p>
      <w:pPr>
        <w:pStyle w:val="Heading1"/>
      </w:pPr>
      <w:r>
        <w:t xml:space="preserve">Chapter 10: Chemical Formulas &amp; Bill of Materials (BOM)</w:t>
      </w:r>
    </w:p>
    <w:p>
      <w:r>
        <w:t xml:space="preserve">Plant chemists define versioned master recipes specifying standard batch sizes, expected yields, process evaporation losses, and ingredient mixing ratios.</w:t>
      </w:r>
    </w:p>
    <w:p>
      <w:pPr>
        <w:spacing w:after="60" w:before="180"/>
        <w:jc w:val="center"/>
      </w:pPr>
      <w:r>
        <w:drawing>
          <wp:inline distT="0" distB="0" distL="0" distR="0">
            <wp:extent cx="5048250" cy="27622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Figure 10.1: Master Chemical Recipes &amp; Bill of Materials (BOM) Management</w:t>
      </w:r>
    </w:p>
    <w:p>
      <w:pPr>
        <w:pStyle w:val="Heading1"/>
      </w:pPr>
      <w:r>
        <w:t xml:space="preserve">Chapter 11: Production Orders &amp; Laboratory QC Gates</w:t>
      </w:r>
    </w:p>
    <w:p>
      <w:r>
        <w:t xml:space="preserve">Manage the 4-stage batch manufacturing lifecycle: Draft planning, ingredient reservation, laboratory QC testing (pH, density, viscosity), and atomic finalization.</w:t>
      </w:r>
    </w:p>
    <w:p>
      <w:pPr>
        <w:spacing w:after="60" w:before="180"/>
        <w:jc w:val="center"/>
      </w:pPr>
      <w:r>
        <w:drawing>
          <wp:inline distT="0" distB="0" distL="0" distR="0">
            <wp:extent cx="5048250" cy="27622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Figure 11.1: Production Orders Lifecycle Desk with Laboratory QC Verification</w:t>
      </w:r>
    </w:p>
    <w:p>
      <w:pPr>
        <w:pStyle w:val="Heading1"/>
      </w:pPr>
      <w:r>
        <w:t xml:space="preserve">Chapter 12: Purchasing &amp; Goods Receipt Notes (GRN)</w:t>
      </w:r>
    </w:p>
    <w:p>
      <w:r>
        <w:t xml:space="preserve">Create supplier purchase orders, inspect incoming chemical deliveries at the depot gate, and post Goods Receipt Notes (GRN) to update warehouse stock.</w:t>
      </w:r>
    </w:p>
    <w:p>
      <w:pPr>
        <w:spacing w:after="60" w:before="180"/>
        <w:jc w:val="center"/>
      </w:pPr>
      <w:r>
        <w:drawing>
          <wp:inline distT="0" distB="0" distL="0" distR="0">
            <wp:extent cx="5048250" cy="27622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Figure 12.1: Purchasing and Goods Receipt (GRN) Management Desk</w:t>
      </w:r>
    </w:p>
    <w:p>
      <w:pPr>
        <w:pStyle w:val="Heading1"/>
      </w:pPr>
      <w:r>
        <w:t xml:space="preserve">Chapter 13: Sales Returns &amp; GST Credit Notes</w:t>
      </w:r>
    </w:p>
    <w:p>
      <w:r>
        <w:t xml:space="preserve">Process customer returns with mandatory original invoice linking, segregating returned containers into Saleable Stock vs Quarantined Damaged Chemical Waste.</w:t>
      </w:r>
    </w:p>
    <w:p>
      <w:pPr>
        <w:spacing w:after="60" w:before="180"/>
        <w:jc w:val="center"/>
      </w:pPr>
      <w:r>
        <w:drawing>
          <wp:inline distT="0" distB="0" distL="0" distR="0">
            <wp:extent cx="5048250" cy="27622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Figure 13.1: Sales Returns and Credit Note Management Desk</w:t>
      </w:r>
    </w:p>
    <w:p>
      <w:pPr>
        <w:pStyle w:val="Heading1"/>
      </w:pPr>
      <w:r>
        <w:t xml:space="preserve">Chapter 14: Sales &amp; Statutory GSTR-1 Tax Analytics</w:t>
      </w:r>
    </w:p>
    <w:p>
      <w:r>
        <w:t xml:space="preserve">Generate daily sales registers, cash collection audits, inventory valuation reports, and monthly GSTR-1 outward supply tax summaries for filing.</w:t>
      </w:r>
    </w:p>
    <w:p>
      <w:pPr>
        <w:spacing w:after="60" w:before="180"/>
        <w:jc w:val="center"/>
      </w:pPr>
      <w:r>
        <w:drawing>
          <wp:inline distT="0" distB="0" distL="0" distR="0">
            <wp:extent cx="5048250" cy="276225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Figure 14.1: Sales &amp; Statutory Tax Analytics Report with Date Filtering</w:t>
      </w:r>
    </w:p>
    <w:p>
      <w:pPr>
        <w:pStyle w:val="Heading1"/>
      </w:pPr>
      <w:r>
        <w:t xml:space="preserve">Chapter 15: System Settings &amp; User Administration</w:t>
      </w:r>
    </w:p>
    <w:p>
      <w:r>
        <w:t xml:space="preserve">Configure company profile, GSTIN credentials (33AAACG1234D1Z5), Coimbatore Thenkarai address, 80mm thermal receipt margins, and staff login permissions.</w:t>
      </w:r>
    </w:p>
    <w:p>
      <w:pPr>
        <w:spacing w:after="60" w:before="180"/>
        <w:jc w:val="center"/>
      </w:pPr>
      <w:r>
        <w:drawing>
          <wp:inline distT="0" distB="0" distL="0" distR="0">
            <wp:extent cx="5048250" cy="276225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Figure 15.1: System Configuration Desk — Company Profile, Tax &amp; Hardware Setup</w:t>
      </w:r>
    </w:p>
    <w:p>
      <w:pPr>
        <w:pStyle w:val="Heading1"/>
      </w:pPr>
      <w:r>
        <w:t xml:space="preserve">Chapter 16: Keyboard Shortcuts &amp; Technical Support</w:t>
      </w:r>
    </w:p>
    <w:p>
      <w:r>
        <w:t xml:space="preserve">Function keys for counter cashiers: F2 (Search/Scan), F4 (Customer), F7 (Price Tier), F8 (Cash Checkout), Enter (Complete Bill), Esc (Clear/Close).</w:t>
      </w:r>
    </w:p>
    <w:p>
      <w:r>
        <w:rPr>
          <w:b/>
          <w:bCs/>
        </w:rPr>
        <w:t xml:space="preserve">Prepared &amp; Engineered By: </w:t>
      </w:r>
      <w:r>
        <w:rPr>
          <w:b/>
          <w:bCs/>
          <w:color w:val="005a9c"/>
        </w:rPr>
        <w:t xml:space="preserve">ARUN CODEX (Web Developer | Designer | Innovator)</w:t>
      </w:r>
      <w:r>
        <w:t xml:space="preserve"> for Gudi Chemicals (Spic, Thenkarai, Coimbatore, Tamil Nadu 641010). All rights reserved.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ARUN CODEX | Gudi Chemicals ERP Complete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1"/>
        <w:szCs w:val="21"/>
      </w:rPr>
    </w:rPrDefault>
    <w:pPrDefault>
      <w:pPr>
        <w:spacing w:after="120" w:line="29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Segoe UI" w:cs="Segoe UI" w:eastAsia="Segoe UI" w:hAnsi="Segoe UI"/>
      <w:b/>
      <w:bCs/>
      <w:color w:val="003e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Segoe UI" w:cs="Segoe UI" w:eastAsia="Segoe UI" w:hAnsi="Segoe UI"/>
      <w:b/>
      <w:bCs/>
      <w:color w:val="0f172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Segoe UI" w:cs="Segoe UI" w:eastAsia="Segoe UI" w:hAnsi="Segoe UI"/>
      <w:b/>
      <w:bCs/>
      <w:color w:val="1e293b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d50c98ad8b95db022fca7500c23fa2e96ae851f.undefined"/><Relationship Id="rId10" Type="http://schemas.openxmlformats.org/officeDocument/2006/relationships/image" Target="media/840215e1da23f3d89ddea6dc295f0b7298d6e797.undefined"/><Relationship Id="rId11" Type="http://schemas.openxmlformats.org/officeDocument/2006/relationships/image" Target="media/3da3a11e2d023bbea0a76e7fe4814050059b700e.undefined"/><Relationship Id="rId12" Type="http://schemas.openxmlformats.org/officeDocument/2006/relationships/image" Target="media/7b04a26d1363a5355766369371f35317c0ac7152.undefined"/><Relationship Id="rId13" Type="http://schemas.openxmlformats.org/officeDocument/2006/relationships/image" Target="media/16a4b0b33e5eae4a4f8885da58c9786e65017a31.undefined"/><Relationship Id="rId14" Type="http://schemas.openxmlformats.org/officeDocument/2006/relationships/image" Target="media/bd2a032a3ef29498078c0ea50d96bf4d00a3d67e.undefined"/><Relationship Id="rId15" Type="http://schemas.openxmlformats.org/officeDocument/2006/relationships/image" Target="media/eb65f1117a3df44144c8f63a4798aaedab8f57fd.undefined"/><Relationship Id="rId16" Type="http://schemas.openxmlformats.org/officeDocument/2006/relationships/image" Target="media/c0666054598e916f58b06ec4d0296c095492a308.undefined"/><Relationship Id="rId17" Type="http://schemas.openxmlformats.org/officeDocument/2006/relationships/image" Target="media/55d88e1bcb78ab5552a8ccde214b2fea3d169207.undefined"/><Relationship Id="rId18" Type="http://schemas.openxmlformats.org/officeDocument/2006/relationships/image" Target="media/2e3bdc5ae843ee2909591f5c1e1ee6cd045b3868.undefined"/><Relationship Id="rId19" Type="http://schemas.openxmlformats.org/officeDocument/2006/relationships/image" Target="media/3db3ef21f8499ad13f788c3ea81937f8a6cc7a61.undefined"/><Relationship Id="rId20" Type="http://schemas.openxmlformats.org/officeDocument/2006/relationships/image" Target="media/47ec1493222f803a18ed8a29104ed7a762d06142.undefined"/><Relationship Id="rId21" Type="http://schemas.openxmlformats.org/officeDocument/2006/relationships/image" Target="media/3be07f093f7549aeb021eea1b5f4b4c1ebdb28dc.undefined"/><Relationship Id="rId22" Type="http://schemas.openxmlformats.org/officeDocument/2006/relationships/image" Target="media/6e3677b7abc54e06709c96504f82390024609f8e.undefined"/><Relationship Id="rId23" Type="http://schemas.openxmlformats.org/officeDocument/2006/relationships/image" Target="media/98d5f8a370340676586b4c2fa14fb98c8d8ab47f.undefined"/><Relationship Id="rId24" Type="http://schemas.openxmlformats.org/officeDocument/2006/relationships/image" Target="media/21e2043d29c2c1177ae327f9ce4a10a968bc9129.undefined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2026-10-03T13:26:28.249Z</dcterms:created>
  <dcterms:modified xsi:type="dcterms:W3CDTF">2026-10-03T13:26:28.250Z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