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Four Brain “Characters”</w:t>
      </w:r>
    </w:p>
    <w:p>
      <w:r>
        <w:rPr>
          <w:i/>
          <w:iCs/>
          <w:color w:val="555555"/>
        </w:rPr>
        <w:t xml:space="preserve">Summary of a conversation with neuroanatomist Jill Bolte Taylor on the brain's four functional personalities and how emotion, trauma, and addiction relate to brain anatomy.</w:t>
      </w:r>
    </w:p>
    <w:p>
      <w:pPr>
        <w:pStyle w:val="Heading2"/>
      </w:pPr>
      <w:r>
        <w:t xml:space="preserve">Core Framework</w:t>
      </w:r>
    </w:p>
    <w:p>
      <w:r>
        <w:t xml:space="preserve">The speaker divides brain function into four “characters” based on the left/right hemisphere split and the thinking/emotion split. Each hemisphere has its own emotional system and its own hippocampus, meaning humans effectively run two separate emotional brains alongside two separate thinking systems.</w:t>
      </w:r>
    </w:p>
    <w:p>
      <w:pPr>
        <w:pStyle w:val="Heading2"/>
      </w:pPr>
      <w:r>
        <w:t xml:space="preserve">The Four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1700"/>
        <w:gridCol w:w="2160"/>
      </w:tblGrid>
      <w:tr>
        <w:trPr>
          <w:tblHeader/>
        </w:trPr>
        <w:tc>
          <w:tcPr>
            <w:tcW w:type="dxa" w:w="17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Character</w:t>
            </w:r>
          </w:p>
        </w:tc>
        <w:tc>
          <w:tcPr>
            <w:tcW w:type="dxa" w:w="19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Hemisphere/Region</w:t>
            </w:r>
          </w:p>
        </w:tc>
        <w:tc>
          <w:tcPr>
            <w:tcW w:type="dxa" w:w="19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Core Function</w:t>
            </w:r>
          </w:p>
        </w:tc>
        <w:tc>
          <w:tcPr>
            <w:tcW w:type="dxa" w:w="17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Emotional Tone</w:t>
            </w:r>
          </w:p>
        </w:tc>
        <w:tc>
          <w:tcPr>
            <w:tcW w:type="dxa" w:w="21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Behavioral Signs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1 – Left Thinking (“Helen”)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Left cerebral cortex</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Judgment, logic, language, rules, productivity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Driven, analytical, “right vs. wrong” focus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At work, making to-do lists, organizing, wanting control, A-type behavior</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2 – Left Emotion (“Abby”)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Left hemisphere limbic system (incl. insular cortex)</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Stores past pain, trauma memory, addiction/craving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Reactive, often unhappy, holds grudges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Replaying old hurts, emotional reactivity, addictive cravings, blaming people from the past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3 – Right Emotion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Right hemisphere limbic system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Present-moment sensory/emotional experience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Playful, impulsive, immature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Acting without thinking of consequences, seeking fun/sensation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4 – Right Thinking</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Right cerebral cortex</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Big-picture wisdom, peace, connectedness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Calm, awe-filled, expansive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Gratitude, sense of unity, meditation states, feeling part of something larger</w:t>
            </w:r>
          </w:p>
        </w:tc>
      </w:tr>
    </w:tbl>
    <w:p/>
    <w:p>
      <w:pPr>
        <w:pStyle w:val="Heading2"/>
      </w:pPr>
      <w:r>
        <w:t xml:space="preserve">Key Anatomical Structures Mentioned</w:t>
      </w:r>
    </w:p>
    <w:p>
      <w:pPr>
        <w:pStyle w:val="ListParagraph"/>
        <w:numPr>
          <w:ilvl w:val="0"/>
          <w:numId w:val="2"/>
        </w:numPr>
      </w:pPr>
      <w:r>
        <w:t xml:space="preserve">Amygdala (one per hemisphere) – threat detection (“Am I safe?”); the right amygdala reacts to immediate/present threats, the left layers in interpretation tied to past experience.</w:t>
      </w:r>
    </w:p>
    <w:p>
      <w:pPr>
        <w:pStyle w:val="ListParagraph"/>
        <w:numPr>
          <w:ilvl w:val="0"/>
          <w:numId w:val="2"/>
        </w:numPr>
      </w:pPr>
      <w:r>
        <w:t xml:space="preserve">Hippocampus (one per hemisphere) – learning and memory; functions best when the amygdala is calm.</w:t>
      </w:r>
    </w:p>
    <w:p>
      <w:pPr>
        <w:pStyle w:val="ListParagraph"/>
        <w:numPr>
          <w:ilvl w:val="0"/>
          <w:numId w:val="2"/>
        </w:numPr>
      </w:pPr>
      <w:r>
        <w:t xml:space="preserve">Insular cortex – seat of craving and addiction, part of the left-hemisphere limbic system.</w:t>
      </w:r>
    </w:p>
    <w:p>
      <w:pPr>
        <w:pStyle w:val="ListParagraph"/>
        <w:numPr>
          <w:ilvl w:val="0"/>
          <w:numId w:val="2"/>
        </w:numPr>
      </w:pPr>
      <w:r>
        <w:t xml:space="preserve">Cerebellum / Purkinje cells – govern movement timing and fluidity (foundational anatomy, not part of the four-character model).</w:t>
      </w:r>
    </w:p>
    <w:p>
      <w:pPr>
        <w:pStyle w:val="ListParagraph"/>
        <w:numPr>
          <w:ilvl w:val="0"/>
          <w:numId w:val="2"/>
        </w:numPr>
      </w:pPr>
      <w:r>
        <w:t xml:space="preserve">Neuroplasticity – the underlying mechanism enabling learning, recovery, and the ability to shift between “characters” over time.</w:t>
      </w:r>
    </w:p>
    <w:p>
      <w:pPr>
        <w:pStyle w:val="Heading2"/>
      </w:pPr>
      <w:r>
        <w:t xml:space="preserve">Emotion, Trauma, and Addiction</w:t>
      </w:r>
    </w:p>
    <w:p>
      <w:pPr>
        <w:pStyle w:val="ListParagraph"/>
        <w:numPr>
          <w:ilvl w:val="0"/>
          <w:numId w:val="2"/>
        </w:numPr>
      </w:pPr>
      <w:r>
        <w:t xml:space="preserve">Trauma and addiction-related craving are described as residing primarily in left-hemisphere emotional circuitry (limbic system and insular cortex).</w:t>
      </w:r>
    </w:p>
    <w:p>
      <w:pPr>
        <w:pStyle w:val="ListParagraph"/>
        <w:numPr>
          <w:ilvl w:val="0"/>
          <w:numId w:val="2"/>
        </w:numPr>
      </w:pPr>
      <w:r>
        <w:t xml:space="preserve">The left-hemisphere emotional system (“Abby”) tracks linear time and stores painful memories, generating ongoing reactivity meant to protect against repeat harm.</w:t>
      </w:r>
    </w:p>
    <w:p>
      <w:pPr>
        <w:pStyle w:val="ListParagraph"/>
        <w:numPr>
          <w:ilvl w:val="0"/>
          <w:numId w:val="2"/>
        </w:numPr>
      </w:pPr>
      <w:r>
        <w:t xml:space="preserve">The right-hemisphere emotional system (Character 3) has no access to past or future — it is purely present-moment sensation, which is why meditation techniques aim to shift attention into this system.</w:t>
      </w:r>
    </w:p>
    <w:p>
      <w:pPr>
        <w:pStyle w:val="ListParagraph"/>
        <w:numPr>
          <w:ilvl w:val="0"/>
          <w:numId w:val="2"/>
        </w:numPr>
      </w:pPr>
      <w:r>
        <w:t xml:space="preserve">Calm amygdalae are framed as a prerequisite for learning: when a person feels safe, the hippocampus can engage and focus/learning become possible.</w:t>
      </w:r>
    </w:p>
    <w:p>
      <w:pPr>
        <w:pStyle w:val="Heading2"/>
      </w:pPr>
      <w:r>
        <w:t xml:space="preserve">Visual Field / Hemisphere Demonstration</w:t>
      </w:r>
    </w:p>
    <w:p>
      <w:r>
        <w:t xml:space="preserve">The speaker has the host try glasses with flip-up side shields that block lateral light to one eye at a time. Because light from the lateral visual field crosses to the opposite hemisphere's retina pathway, this is claimed to selectively stimulate one hemisphere over the other. The host reported feeling more analytical/focused with one side covered and more relaxed with the other. The speaker references fMRI research (cited researchers: Martin Teicher and Frederick Schiffer at Harvard) using similar techniques in psychiatric settings.</w:t>
      </w:r>
    </w:p>
    <w:p>
      <w:pPr>
        <w:pStyle w:val="Heading2"/>
      </w:pPr>
      <w:r>
        <w:t xml:space="preserve">Practical Takeaways</w:t>
      </w:r>
    </w:p>
    <w:p>
      <w:pPr>
        <w:pStyle w:val="ListParagraph"/>
        <w:numPr>
          <w:ilvl w:val="0"/>
          <w:numId w:val="2"/>
        </w:numPr>
      </w:pPr>
      <w:r>
        <w:t xml:space="preserve">Practice self-observation: notice in real time which “character” is active (e.g., judgmental work-mode, grudge-holding, playfulness, or peaceful big-picture awareness).</w:t>
      </w:r>
    </w:p>
    <w:p>
      <w:pPr>
        <w:pStyle w:val="ListParagraph"/>
        <w:numPr>
          <w:ilvl w:val="0"/>
          <w:numId w:val="2"/>
        </w:numPr>
      </w:pPr>
      <w:r>
        <w:t xml:space="preserve">Deliberately make space for Character 3 (play) to counterbalance overwork — illustrated by an anecdote of prescribing physicians a hopscotch break to address burnout and high suicide rates in that profession.</w:t>
      </w:r>
    </w:p>
    <w:p>
      <w:pPr>
        <w:pStyle w:val="ListParagraph"/>
        <w:numPr>
          <w:ilvl w:val="0"/>
          <w:numId w:val="2"/>
        </w:numPr>
      </w:pPr>
      <w:r>
        <w:t xml:space="preserve">Most people default to operating primarily from Character 1 (productivity-driven left thinking); integrating all four — especially play and present-moment peace — is presented as key to wellbeing.</w:t>
      </w:r>
    </w:p>
    <w:p>
      <w:pPr>
        <w:pStyle w:val="Heading2"/>
      </w:pPr>
      <w:r>
        <w:t xml:space="preserve">Closing Reflection</w:t>
      </w:r>
    </w:p>
    <w:p>
      <w:r>
        <w:t xml:space="preserve">The conversation closes with a reflection on the statistical improbability of any individual's existence (egg-cell selection, embryonic development) as a way to ground gratitude and reframe mental health struggles within a larger sense of wonder and connectedness — tying back to the right-hemisphere “big picture” character as a path to peace.</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2026-06-19T12:27:17.573Z</dcterms:created>
  <dcterms:modified xsi:type="dcterms:W3CDTF">2026-06-19T12:27:17.573Z</dcterms:modified>
</cp:coreProperties>
</file>

<file path=docProps/custom.xml><?xml version="1.0" encoding="utf-8"?>
<Properties xmlns="http://schemas.openxmlformats.org/officeDocument/2006/custom-properties" xmlns:vt="http://schemas.openxmlformats.org/officeDocument/2006/docPropsVTypes"/>
</file>