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ERP System — n8n AI Assistant Setup Guide</w:t>
      </w:r>
    </w:p>
    <w:p>
      <w:pPr>
        <w:spacing w:after="160"/>
      </w:pPr>
      <w:r>
        <w:rPr>
          <w:i/>
          <w:iCs/>
        </w:rPr>
        <w:t xml:space="preserve">As of 2026-09-21</w:t>
      </w:r>
    </w:p>
    <w:p>
      <w:pPr>
        <w:spacing w:after="160"/>
      </w:pPr>
      <w:r>
        <w:t xml:space="preserve">This guide covers the Garment ERP project, its Docker setup, and how to wire the n8n AI chat assistant to a Groq model so the ERP Assistant chat bubble can answer questions about orders and contacts.</w:t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60"/>
      </w:pPr>
      <w:r>
        <w:t xml:space="preserve">This is a garment-manufacturing </w:t>
      </w:r>
      <w:r>
        <w:rPr>
          <w:b/>
          <w:bCs/>
        </w:rPr>
        <w:t xml:space="preserve">ERP system</w:t>
      </w:r>
      <w:r>
        <w:t xml:space="preserve">: dashboard, contacts (B2B / B2C / employees), CRM (leads &amp; tasks), accounts (quotations, invoices, payments), production (orders with a stitching → printing → washing → packing pipeline), purchase (raw materials, suppliers, purchase orders), delivery tracking, and module-wise reports — plus an </w:t>
      </w:r>
      <w:r>
        <w:rPr>
          <w:b/>
          <w:bCs/>
        </w:rPr>
        <w:t xml:space="preserve">n8n-powered AI chat assistant</w:t>
      </w:r>
      <w:r>
        <w:t xml:space="preserve"> embedded in the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4FB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680"/>
            <w:shd w:fill="E8E4FB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4680"/>
          </w:tcPr>
          <w:p>
            <w:r>
              <w:t xml:space="preserve">Frontend</w:t>
            </w:r>
          </w:p>
        </w:tc>
        <w:tc>
          <w:tcPr>
            <w:tcW w:type="dxa" w:w="4680"/>
          </w:tcPr>
          <w:p>
            <w:r>
              <w:t xml:space="preserve">React + Vite + TypeScript + Tailwind CSS</w:t>
            </w:r>
          </w:p>
        </w:tc>
      </w:tr>
      <w:tr>
        <w:tc>
          <w:tcPr>
            <w:tcW w:type="dxa" w:w="4680"/>
          </w:tcPr>
          <w:p>
            <w:r>
              <w:t xml:space="preserve">Backend API</w:t>
            </w:r>
          </w:p>
        </w:tc>
        <w:tc>
          <w:tcPr>
            <w:tcW w:type="dxa" w:w="4680"/>
          </w:tcPr>
          <w:p>
            <w:r>
              <w:t xml:space="preserve">Laravel (PHP)</w:t>
            </w:r>
          </w:p>
        </w:tc>
      </w:tr>
      <w:tr>
        <w:tc>
          <w:tcPr>
            <w:tcW w:type="dxa" w:w="4680"/>
          </w:tcPr>
          <w:p>
            <w:r>
              <w:t xml:space="preserve">Database</w:t>
            </w:r>
          </w:p>
        </w:tc>
        <w:tc>
          <w:tcPr>
            <w:tcW w:type="dxa" w:w="4680"/>
          </w:tcPr>
          <w:p>
            <w:r>
              <w:t xml:space="preserve">MySQL 8.4</w:t>
            </w:r>
          </w:p>
        </w:tc>
      </w:tr>
      <w:tr>
        <w:tc>
          <w:tcPr>
            <w:tcW w:type="dxa" w:w="4680"/>
          </w:tcPr>
          <w:p>
            <w:r>
              <w:t xml:space="preserve">Automation / AI</w:t>
            </w:r>
          </w:p>
        </w:tc>
        <w:tc>
          <w:tcPr>
            <w:tcW w:type="dxa" w:w="4680"/>
          </w:tcPr>
          <w:p>
            <w:r>
              <w:t xml:space="preserve">n8n (workflow engine), Groq (LLM provider)</w:t>
            </w:r>
          </w:p>
        </w:tc>
      </w:tr>
      <w:tr>
        <w:tc>
          <w:tcPr>
            <w:tcW w:type="dxa" w:w="4680"/>
          </w:tcPr>
          <w:p>
            <w:r>
              <w:t xml:space="preserve">Orchestration</w:t>
            </w:r>
          </w:p>
        </w:tc>
        <w:tc>
          <w:tcPr>
            <w:tcW w:type="dxa" w:w="4680"/>
          </w:tcPr>
          <w:p>
            <w:r>
              <w:t xml:space="preserve">Docker Compose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4FB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680"/>
            <w:shd w:fill="E8E4FB" w:val="clear"/>
          </w:tcPr>
          <w:p>
            <w:r>
              <w:rPr>
                <w:b/>
                <w:bCs/>
              </w:rPr>
              <w:t xml:space="preserve">What it covers</w:t>
            </w:r>
          </w:p>
        </w:tc>
      </w:tr>
      <w:tr>
        <w:tc>
          <w:tcPr>
            <w:tcW w:type="dxa" w:w="4680"/>
          </w:tcPr>
          <w:p>
            <w:r>
              <w:t xml:space="preserve">Dashboard</w:t>
            </w:r>
          </w:p>
        </w:tc>
        <w:tc>
          <w:tcPr>
            <w:tcW w:type="dxa" w:w="4680"/>
          </w:tcPr>
          <w:p>
            <w:r>
              <w:t xml:space="preserve">KPIs across every module, revenue trend</w:t>
            </w:r>
          </w:p>
        </w:tc>
      </w:tr>
      <w:tr>
        <w:tc>
          <w:tcPr>
            <w:tcW w:type="dxa" w:w="4680"/>
          </w:tcPr>
          <w:p>
            <w:r>
              <w:t xml:space="preserve">Contacts</w:t>
            </w:r>
          </w:p>
        </w:tc>
        <w:tc>
          <w:tcPr>
            <w:tcW w:type="dxa" w:w="4680"/>
          </w:tcPr>
          <w:p>
            <w:r>
              <w:t xml:space="preserve">B2B, B2C, and employee records</w:t>
            </w:r>
          </w:p>
        </w:tc>
      </w:tr>
      <w:tr>
        <w:tc>
          <w:tcPr>
            <w:tcW w:type="dxa" w:w="4680"/>
          </w:tcPr>
          <w:p>
            <w:r>
              <w:t xml:space="preserve">CRM</w:t>
            </w:r>
          </w:p>
        </w:tc>
        <w:tc>
          <w:tcPr>
            <w:tcW w:type="dxa" w:w="4680"/>
          </w:tcPr>
          <w:p>
            <w:r>
              <w:t xml:space="preserve">Leads, tasks, lead → quotation conversion</w:t>
            </w:r>
          </w:p>
        </w:tc>
      </w:tr>
      <w:tr>
        <w:tc>
          <w:tcPr>
            <w:tcW w:type="dxa" w:w="4680"/>
          </w:tcPr>
          <w:p>
            <w:r>
              <w:t xml:space="preserve">Accounts</w:t>
            </w:r>
          </w:p>
        </w:tc>
        <w:tc>
          <w:tcPr>
            <w:tcW w:type="dxa" w:w="4680"/>
          </w:tcPr>
          <w:p>
            <w:r>
              <w:t xml:space="preserve">Quotations, invoices, payments</w:t>
            </w:r>
          </w:p>
        </w:tc>
      </w:tr>
      <w:tr>
        <w:tc>
          <w:tcPr>
            <w:tcW w:type="dxa" w:w="4680"/>
          </w:tcPr>
          <w:p>
            <w:r>
              <w:t xml:space="preserve">Production</w:t>
            </w:r>
          </w:p>
        </w:tc>
        <w:tc>
          <w:tcPr>
            <w:tcW w:type="dxa" w:w="4680"/>
          </w:tcPr>
          <w:p>
            <w:r>
              <w:t xml:space="preserve">Orders with a per-stage process pipeline</w:t>
            </w:r>
          </w:p>
        </w:tc>
      </w:tr>
      <w:tr>
        <w:tc>
          <w:tcPr>
            <w:tcW w:type="dxa" w:w="4680"/>
          </w:tcPr>
          <w:p>
            <w:r>
              <w:t xml:space="preserve">Purchase</w:t>
            </w:r>
          </w:p>
        </w:tc>
        <w:tc>
          <w:tcPr>
            <w:tcW w:type="dxa" w:w="4680"/>
          </w:tcPr>
          <w:p>
            <w:r>
              <w:t xml:space="preserve">Suppliers, raw materials, purchase orders</w:t>
            </w:r>
          </w:p>
        </w:tc>
      </w:tr>
      <w:tr>
        <w:tc>
          <w:tcPr>
            <w:tcW w:type="dxa" w:w="4680"/>
          </w:tcPr>
          <w:p>
            <w:r>
              <w:t xml:space="preserve">Delivery</w:t>
            </w:r>
          </w:p>
        </w:tc>
        <w:tc>
          <w:tcPr>
            <w:tcW w:type="dxa" w:w="4680"/>
          </w:tcPr>
          <w:p>
            <w:r>
              <w:t xml:space="preserve">Dispatch and delivery tracking</w:t>
            </w:r>
          </w:p>
        </w:tc>
      </w:tr>
      <w:tr>
        <w:tc>
          <w:tcPr>
            <w:tcW w:type="dxa" w:w="4680"/>
          </w:tcPr>
          <w:p>
            <w:r>
              <w:t xml:space="preserve">Reports</w:t>
            </w:r>
          </w:p>
        </w:tc>
        <w:tc>
          <w:tcPr>
            <w:tcW w:type="dxa" w:w="4680"/>
          </w:tcPr>
          <w:p>
            <w:r>
              <w:t xml:space="preserve">Per-module data reports (orders, B2B, B2C, CRM, production, purchase, accounts, delivery)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Demo login: </w:t>
      </w:r>
      <w:r>
        <w:rPr>
          <w:rFonts w:ascii="Consolas" w:cs="Consolas" w:eastAsia="Consolas" w:hAnsi="Consolas"/>
          <w:sz w:val="20"/>
          <w:szCs w:val="20"/>
        </w:rPr>
        <w:t xml:space="preserve">admin@erp.test / password</w:t>
      </w:r>
    </w:p>
    <w:p>
      <w:pPr>
        <w:pStyle w:val="Heading1"/>
        <w:spacing w:after="200" w:before="400"/>
      </w:pPr>
      <w:r>
        <w:t xml:space="preserve">2. Docker Setup</w:t>
      </w:r>
    </w:p>
    <w:p>
      <w:pPr>
        <w:spacing w:after="160"/>
      </w:pPr>
      <w:r>
        <w:t xml:space="preserve">Everything — database, API, frontend, and n8n — runs from one command at the repo root: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spacing w:after="160"/>
      </w:pPr>
      <w:r>
        <w:t xml:space="preserve">On first run this also installs dependencies inside the containers, runs migrations, and seeds demo data (can take a few minutes; later runs are fast).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4FB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340"/>
            <w:shd w:fill="E8E4FB" w:val="clear"/>
          </w:tcPr>
          <w:p>
            <w:r>
              <w:rPr>
                <w:b/>
                <w:bCs/>
              </w:rPr>
              <w:t xml:space="preserve">Container</w:t>
            </w:r>
          </w:p>
        </w:tc>
        <w:tc>
          <w:tcPr>
            <w:tcW w:type="dxa" w:w="2340"/>
            <w:shd w:fill="E8E4FB" w:val="clear"/>
          </w:tcPr>
          <w:p>
            <w:r>
              <w:rPr>
                <w:b/>
                <w:bCs/>
              </w:rPr>
              <w:t xml:space="preserve">Host port</w:t>
            </w:r>
          </w:p>
        </w:tc>
        <w:tc>
          <w:tcPr>
            <w:tcW w:type="dxa" w:w="2340"/>
            <w:shd w:fill="E8E4FB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</w:tcPr>
          <w:p>
            <w:r>
              <w:t xml:space="preserve">mysql</w:t>
            </w:r>
          </w:p>
        </w:tc>
        <w:tc>
          <w:tcPr>
            <w:tcW w:type="dxa" w:w="2340"/>
          </w:tcPr>
          <w:p>
            <w:r>
              <w:t xml:space="preserve">erp_mysql</w:t>
            </w:r>
          </w:p>
        </w:tc>
        <w:tc>
          <w:tcPr>
            <w:tcW w:type="dxa" w:w="2340"/>
          </w:tcPr>
          <w:p>
            <w:r>
              <w:t xml:space="preserve">3307 → 3306</w:t>
            </w:r>
          </w:p>
        </w:tc>
        <w:tc>
          <w:tcPr>
            <w:tcW w:type="dxa" w:w="2340"/>
          </w:tcPr>
          <w:p>
            <w:r>
              <w:t xml:space="preserve">Database</w:t>
            </w:r>
          </w:p>
        </w:tc>
      </w:tr>
      <w:tr>
        <w:tc>
          <w:tcPr>
            <w:tcW w:type="dxa" w:w="2340"/>
          </w:tcPr>
          <w:p>
            <w:r>
              <w:t xml:space="preserve">backend</w:t>
            </w:r>
          </w:p>
        </w:tc>
        <w:tc>
          <w:tcPr>
            <w:tcW w:type="dxa" w:w="2340"/>
          </w:tcPr>
          <w:p>
            <w:r>
              <w:t xml:space="preserve">erp_backend</w:t>
            </w:r>
          </w:p>
        </w:tc>
        <w:tc>
          <w:tcPr>
            <w:tcW w:type="dxa" w:w="2340"/>
          </w:tcPr>
          <w:p>
            <w:r>
              <w:t xml:space="preserve">8000</w:t>
            </w:r>
          </w:p>
        </w:tc>
        <w:tc>
          <w:tcPr>
            <w:tcW w:type="dxa" w:w="2340"/>
          </w:tcPr>
          <w:p>
            <w:r>
              <w:t xml:space="preserve">Laravel API</w:t>
            </w:r>
          </w:p>
        </w:tc>
      </w:tr>
      <w:tr>
        <w:tc>
          <w:tcPr>
            <w:tcW w:type="dxa" w:w="2340"/>
          </w:tcPr>
          <w:p>
            <w:r>
              <w:t xml:space="preserve">frontend</w:t>
            </w:r>
          </w:p>
        </w:tc>
        <w:tc>
          <w:tcPr>
            <w:tcW w:type="dxa" w:w="2340"/>
          </w:tcPr>
          <w:p>
            <w:r>
              <w:t xml:space="preserve">erp_frontend</w:t>
            </w:r>
          </w:p>
        </w:tc>
        <w:tc>
          <w:tcPr>
            <w:tcW w:type="dxa" w:w="2340"/>
          </w:tcPr>
          <w:p>
            <w:r>
              <w:t xml:space="preserve">5173</w:t>
            </w:r>
          </w:p>
        </w:tc>
        <w:tc>
          <w:tcPr>
            <w:tcW w:type="dxa" w:w="2340"/>
          </w:tcPr>
          <w:p>
            <w:r>
              <w:t xml:space="preserve">React app (Vite dev server)</w:t>
            </w:r>
          </w:p>
        </w:tc>
      </w:tr>
      <w:tr>
        <w:tc>
          <w:tcPr>
            <w:tcW w:type="dxa" w:w="2340"/>
          </w:tcPr>
          <w:p>
            <w:r>
              <w:t xml:space="preserve">n8n</w:t>
            </w:r>
          </w:p>
        </w:tc>
        <w:tc>
          <w:tcPr>
            <w:tcW w:type="dxa" w:w="2340"/>
          </w:tcPr>
          <w:p>
            <w:r>
              <w:t xml:space="preserve">erp_n8n</w:t>
            </w:r>
          </w:p>
        </w:tc>
        <w:tc>
          <w:tcPr>
            <w:tcW w:type="dxa" w:w="2340"/>
          </w:tcPr>
          <w:p>
            <w:r>
              <w:t xml:space="preserve">5678</w:t>
            </w:r>
          </w:p>
        </w:tc>
        <w:tc>
          <w:tcPr>
            <w:tcW w:type="dxa" w:w="2340"/>
          </w:tcPr>
          <w:p>
            <w:r>
              <w:t xml:space="preserve">Workflow / AI automation engine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http://localhost:5173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API: http://localhost:8000/api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n8n editor: http://localhost:5678</w:t>
      </w:r>
    </w:p>
    <w:p>
      <w:pPr>
        <w:spacing w:after="100" w:before="160"/>
      </w:pPr>
      <w:r>
        <w:t xml:space="preserve">Stop everything with: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</w:p>
    <w:p>
      <w:pPr>
        <w:spacing w:after="16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-v</w:t>
      </w:r>
      <w:r>
        <w:t xml:space="preserve"> to also wipe the MySQL volume. If any port is already taken on your machine, copy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in the project root and override </w:t>
      </w:r>
      <w:r>
        <w:rPr>
          <w:rFonts w:ascii="Consolas" w:cs="Consolas" w:eastAsia="Consolas" w:hAnsi="Consolas"/>
          <w:sz w:val="20"/>
          <w:szCs w:val="20"/>
        </w:rPr>
        <w:t xml:space="preserve">BACKEND_PORT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FRONTEND_PORT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DB_FORWARD_PORT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N8N_PORT</w:t>
      </w:r>
      <w:r>
        <w:t xml:space="preserve">.</w:t>
      </w:r>
    </w:p>
    <w:p>
      <w:pPr>
        <w:spacing w:after="160"/>
      </w:pPr>
      <w:r>
        <w:t xml:space="preserve">n8n’s own data (workflows, credentials) lives in the </w:t>
      </w:r>
      <w:r>
        <w:rPr>
          <w:rFonts w:ascii="Consolas" w:cs="Consolas" w:eastAsia="Consolas" w:hAnsi="Consolas"/>
          <w:sz w:val="20"/>
          <w:szCs w:val="20"/>
        </w:rPr>
        <w:t xml:space="preserve">erp_n8n_data</w:t>
      </w:r>
      <w:r>
        <w:t xml:space="preserve"> Docker volume, so workflows survive a </w:t>
      </w: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  <w:r>
        <w:t xml:space="preserve"> (without </w:t>
      </w:r>
      <w:r>
        <w:rPr>
          <w:rFonts w:ascii="Consolas" w:cs="Consolas" w:eastAsia="Consolas" w:hAnsi="Consolas"/>
          <w:sz w:val="20"/>
          <w:szCs w:val="20"/>
        </w:rPr>
        <w:t xml:space="preserve">-v</w:t>
      </w:r>
      <w:r>
        <w:t xml:space="preserve">) and a rebuild.</w:t>
      </w:r>
    </w:p>
    <w:p>
      <w:pPr>
        <w:pStyle w:val="Heading1"/>
        <w:spacing w:after="200" w:before="400"/>
      </w:pPr>
      <w:r>
        <w:t xml:space="preserve">3. n8n Workflow Setup</w:t>
      </w:r>
    </w:p>
    <w:p>
      <w:pPr>
        <w:spacing w:after="160"/>
      </w:pPr>
      <w:r>
        <w:t xml:space="preserve">n8n is used two ways in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Quotation Approved automation</w:t>
      </w:r>
      <w:r>
        <w:t xml:space="preserve"> — an existing webhook workflow that fires when a quotation is approved (fans out to Slack, email, etc.). Fully documented separately in </w:t>
      </w:r>
      <w:r>
        <w:rPr>
          <w:rFonts w:ascii="Consolas" w:cs="Consolas" w:eastAsia="Consolas" w:hAnsi="Consolas"/>
          <w:sz w:val="20"/>
          <w:szCs w:val="20"/>
        </w:rPr>
        <w:t xml:space="preserve">backend/docs/N8N_INTEGRATION.md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Chat Assistant</w:t>
      </w:r>
      <w:r>
        <w:t xml:space="preserve"> — the workflow open in your browser ("My workflow 2"), which powers the chat bubble on every ERP page. The rest of this section builds that one.</w:t>
      </w:r>
    </w:p>
    <w:p>
      <w:pPr>
        <w:pStyle w:val="Heading2"/>
        <w:spacing w:after="150" w:before="300"/>
      </w:pPr>
      <w:r>
        <w:t xml:space="preserve">3.1 Open n8n</w:t>
      </w:r>
    </w:p>
    <w:p>
      <w:pPr>
        <w:spacing w:after="160"/>
      </w:pPr>
      <w:r>
        <w:t xml:space="preserve">Go to http://localhost:5678. On the very first visit it asks you to create an owner account (any email/password) — that account and every workflow/credential you create are stored in the </w:t>
      </w:r>
      <w:r>
        <w:rPr>
          <w:rFonts w:ascii="Consolas" w:cs="Consolas" w:eastAsia="Consolas" w:hAnsi="Consolas"/>
          <w:sz w:val="20"/>
          <w:szCs w:val="20"/>
        </w:rPr>
        <w:t xml:space="preserve">erp_n8n_data</w:t>
      </w:r>
      <w:r>
        <w:t xml:space="preserve"> Docker volume, so they survive restarts.</w:t>
      </w:r>
    </w:p>
    <w:p>
      <w:pPr>
        <w:pStyle w:val="Heading2"/>
        <w:spacing w:after="150" w:before="300"/>
      </w:pPr>
      <w:r>
        <w:t xml:space="preserve">3.2 The four pieces of the workflow</w:t>
      </w:r>
    </w:p>
    <w:p>
      <w:pPr>
        <w:spacing w:after="160"/>
      </w:pPr>
      <w:r>
        <w:t xml:space="preserve">The workflow wires together like this: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chat message received (Chat Trigger)  →  AI Agent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Groq Chat Model  →  AI Agent’s Chat Model input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Window Buffer Memory  →  AI Agent’s Memory input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Agent  →  HTTP Request Tool  →  Laravel  GET /api/lookup/{code}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Chat Trigger</w:t>
      </w:r>
      <w:r>
        <w:t xml:space="preserve"> ("When chat message received") — the first node; no configuration needed beyond defaults. Its </w:t>
      </w:r>
      <w:r>
        <w:rPr>
          <w:b/>
          <w:bCs/>
        </w:rPr>
        <w:t xml:space="preserve">Production URL</w:t>
      </w:r>
      <w:r>
        <w:t xml:space="preserve"> is what Laravel calls (section 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 Agent</w:t>
      </w:r>
      <w:r>
        <w:t xml:space="preserve"> — drop it after the trigger and connect the trigger’s output into it. This is the orchestrator; everything below plugs into its three lower ports.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Chat Model</w:t>
      </w:r>
      <w:r>
        <w:t xml:space="preserve"> (bottom-left port) — add a Groq-backed model here; see section 4 for the credential.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Memory</w:t>
      </w:r>
      <w:r>
        <w:t xml:space="preserve"> (bottom-middle port, optional but recommended) — add a </w:t>
      </w:r>
      <w:r>
        <w:rPr>
          <w:b/>
          <w:bCs/>
        </w:rPr>
        <w:t xml:space="preserve">Simple Memory</w:t>
      </w:r>
      <w:r>
        <w:t xml:space="preserve"> (Window Buffer Memory) node, keyed on </w:t>
      </w:r>
      <w:r>
        <w:rPr>
          <w:rFonts w:ascii="Consolas" w:cs="Consolas" w:eastAsia="Consolas" w:hAnsi="Consolas"/>
          <w:sz w:val="20"/>
          <w:szCs w:val="20"/>
        </w:rPr>
        <w:t xml:space="preserve">{{ $json.sessionId }}</w:t>
      </w:r>
      <w:r>
        <w:t xml:space="preserve"> so each ERP user’s conversation history stays separate.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Tool</w:t>
      </w:r>
      <w:r>
        <w:t xml:space="preserve"> (bottom-right port) — add an </w:t>
      </w:r>
      <w:r>
        <w:rPr>
          <w:b/>
          <w:bCs/>
        </w:rPr>
        <w:t xml:space="preserve">HTTP Request</w:t>
      </w:r>
      <w:r>
        <w:t xml:space="preserve"> tool node; this is what lets the agent look up real ERP data instead of guessing.</w:t>
      </w:r>
    </w:p>
    <w:p>
      <w:pPr>
        <w:pStyle w:val="Heading2"/>
        <w:spacing w:after="150" w:before="300"/>
      </w:pPr>
      <w:r>
        <w:t xml:space="preserve">3.3 Configure the HTTP Request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E8E4FB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560"/>
            <w:shd w:fill="E8E4FB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1800"/>
          </w:tcPr>
          <w:p>
            <w:r>
              <w:t xml:space="preserve">Method</w:t>
            </w:r>
          </w:p>
        </w:tc>
        <w:tc>
          <w:tcPr>
            <w:tcW w:type="dxa" w:w="7560"/>
          </w:tcPr>
          <w:p>
            <w:r>
              <w:t xml:space="preserve">GET</w:t>
            </w:r>
          </w:p>
        </w:tc>
      </w:tr>
      <w:tr>
        <w:tc>
          <w:tcPr>
            <w:tcW w:type="dxa" w:w="1800"/>
          </w:tcPr>
          <w:p>
            <w:r>
              <w:t xml:space="preserve">URL</w:t>
            </w:r>
          </w:p>
        </w:tc>
        <w:tc>
          <w:tcPr>
            <w:tcW w:type="dxa" w:w="7560"/>
          </w:tcPr>
          <w:p>
            <w:r>
              <w:t xml:space="preserve">http://backend:8000/api/lookup/{{ $fromAI('code', 'the record code, e.g. PRD-00003') }}</w:t>
            </w:r>
          </w:p>
        </w:tc>
      </w:tr>
      <w:tr>
        <w:tc>
          <w:tcPr>
            <w:tcW w:type="dxa" w:w="1800"/>
          </w:tcPr>
          <w:p>
            <w:r>
              <w:t xml:space="preserve">Header</w:t>
            </w:r>
          </w:p>
        </w:tc>
        <w:tc>
          <w:tcPr>
            <w:tcW w:type="dxa" w:w="7560"/>
          </w:tcPr>
          <w:p>
            <w:r>
              <w:t xml:space="preserve">Authorization: Bearer &lt;token&gt;  (see 5.3)</w:t>
            </w:r>
          </w:p>
        </w:tc>
      </w:tr>
      <w:tr>
        <w:tc>
          <w:tcPr>
            <w:tcW w:type="dxa" w:w="1800"/>
          </w:tcPr>
          <w:p>
            <w:r>
              <w:t xml:space="preserve">Description</w:t>
            </w:r>
          </w:p>
        </w:tc>
        <w:tc>
          <w:tcPr>
            <w:tcW w:type="dxa" w:w="7560"/>
          </w:tcPr>
          <w:p>
            <w:r>
              <w:t xml:space="preserve">Look up any ERP record by its code: PRD-00003 (production order), B2B-00011 / B2C-... / EMP-... (contact), INV-00021 (invoice), QUO-00005 (quotation), PO-00008 (purchase order), LEAD-00003 (lead).</w:t>
            </w:r>
          </w:p>
        </w:tc>
      </w:tr>
    </w:tbl>
    <w:p>
      <w:pPr>
        <w:spacing w:after="160" w:before="16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backend</w:t>
      </w:r>
      <w:r>
        <w:t xml:space="preserve"> (the Docker service name), not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 — n8n calls this from inside the same Compose network. The </w:t>
      </w:r>
      <w:r>
        <w:rPr>
          <w:b/>
          <w:bCs/>
        </w:rPr>
        <w:t xml:space="preserve">Description</w:t>
      </w:r>
      <w:r>
        <w:t xml:space="preserve"> field is what the LLM reads to decide </w:t>
      </w:r>
      <w:r>
        <w:rPr>
          <w:i/>
          <w:iCs/>
        </w:rPr>
        <w:t xml:space="preserve">when</w:t>
      </w:r>
      <w:r>
        <w:t xml:space="preserve"> to call this tool, so keep it explicit about the code formats.</w:t>
      </w:r>
    </w:p>
    <w:p>
      <w:pPr>
        <w:pStyle w:val="Heading1"/>
        <w:spacing w:after="200" w:before="400"/>
      </w:pPr>
      <w:r>
        <w:t xml:space="preserve">4. Groq API Key Setup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https://console.groq.com and sign up or log in (Groq has a free tier).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Left sidebar → </w:t>
      </w:r>
      <w:r>
        <w:rPr>
          <w:b/>
          <w:bCs/>
        </w:rPr>
        <w:t xml:space="preserve">API Keys</w:t>
      </w:r>
      <w:r>
        <w:t xml:space="preserve"> → </w:t>
      </w:r>
      <w:r>
        <w:rPr>
          <w:b/>
          <w:bCs/>
        </w:rPr>
        <w:t xml:space="preserve">Create API Key</w:t>
      </w:r>
      <w:r>
        <w:t xml:space="preserve">. Name it (e.g. </w:t>
      </w:r>
      <w:r>
        <w:rPr>
          <w:rFonts w:ascii="Consolas" w:cs="Consolas" w:eastAsia="Consolas" w:hAnsi="Consolas"/>
          <w:sz w:val="20"/>
          <w:szCs w:val="20"/>
        </w:rPr>
        <w:t xml:space="preserve">erp-n8n</w:t>
      </w:r>
      <w:r>
        <w:t xml:space="preserve">) and copy it immediately — Groq only shows the full key once.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n8n, open </w:t>
      </w:r>
      <w:r>
        <w:rPr>
          <w:b/>
          <w:bCs/>
        </w:rPr>
        <w:t xml:space="preserve">Credentials</w:t>
      </w:r>
      <w:r>
        <w:t xml:space="preserve"> (left sidebar) → </w:t>
      </w:r>
      <w:r>
        <w:rPr>
          <w:b/>
          <w:bCs/>
        </w:rPr>
        <w:t xml:space="preserve">New Credential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Search for a Groq-compatible credential type:</w:t>
      </w:r>
    </w:p>
    <w:p>
      <w:pPr>
        <w:pStyle w:val="ListParagraph"/>
        <w:numPr>
          <w:ilvl w:val="1"/>
          <w:numId w:val="4"/>
        </w:numPr>
        <w:spacing w:after="80"/>
      </w:pPr>
      <w:r>
        <w:t xml:space="preserve">If your n8n version has a native </w:t>
      </w:r>
      <w:r>
        <w:rPr>
          <w:b/>
          <w:bCs/>
        </w:rPr>
        <w:t xml:space="preserve">Groq Chat Model</w:t>
      </w:r>
      <w:r>
        <w:t xml:space="preserve"> credential, search "Groq", paste the key into </w:t>
      </w:r>
      <w:r>
        <w:rPr>
          <w:b/>
          <w:bCs/>
        </w:rPr>
        <w:t xml:space="preserve">API Key</w:t>
      </w:r>
      <w:r>
        <w:t xml:space="preserve">, and save.</w:t>
      </w:r>
    </w:p>
    <w:p>
      <w:pPr>
        <w:pStyle w:val="ListParagraph"/>
        <w:numPr>
          <w:ilvl w:val="1"/>
          <w:numId w:val="4"/>
        </w:numPr>
        <w:spacing w:after="80"/>
      </w:pPr>
      <w:r>
        <w:t xml:space="preserve">If it doesn’t, use n8n’s </w:t>
      </w:r>
      <w:r>
        <w:rPr>
          <w:b/>
          <w:bCs/>
        </w:rPr>
        <w:t xml:space="preserve">OpenAI Chat Model</w:t>
      </w:r>
      <w:r>
        <w:t xml:space="preserve"> node instead — Groq’s API is OpenAI-compatible. Set </w:t>
      </w:r>
      <w:r>
        <w:rPr>
          <w:b/>
          <w:bCs/>
        </w:rPr>
        <w:t xml:space="preserve">Base URL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https://api.groq.com/openai/v1</w:t>
      </w:r>
      <w:r>
        <w:t xml:space="preserve"> and </w:t>
      </w:r>
      <w:r>
        <w:rPr>
          <w:b/>
          <w:bCs/>
        </w:rPr>
        <w:t xml:space="preserve">API Key</w:t>
      </w:r>
      <w:r>
        <w:t xml:space="preserve"> to the key from step 2.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 on the workflow, open the </w:t>
      </w:r>
      <w:r>
        <w:rPr>
          <w:b/>
          <w:bCs/>
        </w:rPr>
        <w:t xml:space="preserve">Chat Model</w:t>
      </w:r>
      <w:r>
        <w:t xml:space="preserve"> sub-node hanging under </w:t>
      </w:r>
      <w:r>
        <w:rPr>
          <w:b/>
          <w:bCs/>
        </w:rPr>
        <w:t xml:space="preserve">AI Agent</w:t>
      </w:r>
      <w:r>
        <w:t xml:space="preserve">, attach the credential from steps 3–4, and pick a Groq-hosted model — e.g. </w:t>
      </w:r>
      <w:r>
        <w:rPr>
          <w:rFonts w:ascii="Consolas" w:cs="Consolas" w:eastAsia="Consolas" w:hAnsi="Consolas"/>
          <w:sz w:val="20"/>
          <w:szCs w:val="20"/>
        </w:rPr>
        <w:t xml:space="preserve">llama-3.3-70b-versatile</w:t>
      </w:r>
      <w:r>
        <w:t xml:space="preserve"> (best quality) or </w:t>
      </w:r>
      <w:r>
        <w:rPr>
          <w:rFonts w:ascii="Consolas" w:cs="Consolas" w:eastAsia="Consolas" w:hAnsi="Consolas"/>
          <w:sz w:val="20"/>
          <w:szCs w:val="20"/>
        </w:rPr>
        <w:t xml:space="preserve">llama-3.1-8b-instant</w:t>
      </w:r>
      <w:r>
        <w:t xml:space="preserve"> (fastest).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Save the workflow.</w:t>
      </w:r>
    </w:p>
    <w:p>
      <w:pPr>
        <w:spacing w:after="160" w:before="160"/>
      </w:pPr>
      <w:r>
        <w:t xml:space="preserve">The key only lives inside n8n’s encrypted credential store (in the </w:t>
      </w:r>
      <w:r>
        <w:rPr>
          <w:rFonts w:ascii="Consolas" w:cs="Consolas" w:eastAsia="Consolas" w:hAnsi="Consolas"/>
          <w:sz w:val="20"/>
          <w:szCs w:val="20"/>
        </w:rPr>
        <w:t xml:space="preserve">erp_n8n_data</w:t>
      </w:r>
      <w:r>
        <w:t xml:space="preserve"> volume) — never paste it into a node’s parameters directly, and never commit it to git.</w:t>
      </w:r>
    </w:p>
    <w:p>
      <w:pPr>
        <w:pStyle w:val="Heading1"/>
        <w:spacing w:after="200" w:before="400"/>
      </w:pPr>
      <w:r>
        <w:t xml:space="preserve">5. Connecting the Workflow to the ERP</w:t>
      </w:r>
    </w:p>
    <w:p>
      <w:pPr>
        <w:pStyle w:val="Heading2"/>
        <w:spacing w:after="150" w:before="300"/>
      </w:pPr>
      <w:r>
        <w:t xml:space="preserve">5.1 Activate &amp; copy the Production webhook URL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Toggle the workflow to </w:t>
      </w:r>
      <w:r>
        <w:rPr>
          <w:b/>
          <w:bCs/>
        </w:rPr>
        <w:t xml:space="preserve">Active</w:t>
      </w:r>
      <w:r>
        <w:t xml:space="preserve"> (top-right of the editor).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</w:t>
      </w:r>
      <w:r>
        <w:rPr>
          <w:b/>
          <w:bCs/>
        </w:rPr>
        <w:t xml:space="preserve">Chat Trigger</w:t>
      </w:r>
      <w:r>
        <w:t xml:space="preserve"> node → copy its </w:t>
      </w:r>
      <w:r>
        <w:rPr>
          <w:b/>
          <w:bCs/>
        </w:rPr>
        <w:t xml:space="preserve">Production URL</w:t>
      </w:r>
      <w:r>
        <w:t xml:space="preserve"> (looks like </w:t>
      </w:r>
      <w:r>
        <w:rPr>
          <w:rFonts w:ascii="Consolas" w:cs="Consolas" w:eastAsia="Consolas" w:hAnsi="Consolas"/>
          <w:sz w:val="20"/>
          <w:szCs w:val="20"/>
        </w:rPr>
        <w:t xml:space="preserve">http://localhost:5678/webhook/&lt;id&gt;/chat</w:t>
      </w:r>
      <w:r>
        <w:t xml:space="preserve">).</w:t>
      </w:r>
    </w:p>
    <w:p>
      <w:pPr>
        <w:pStyle w:val="Heading2"/>
        <w:spacing w:after="150" w:before="300"/>
      </w:pPr>
      <w:r>
        <w:t xml:space="preserve">5.2 Point Laravel at it</w:t>
      </w:r>
    </w:p>
    <w:p>
      <w:pPr>
        <w:spacing w:after="160"/>
      </w:pPr>
      <w:r>
        <w:t xml:space="preserve">Add to </w:t>
      </w:r>
      <w:r>
        <w:rPr>
          <w:rFonts w:ascii="Consolas" w:cs="Consolas" w:eastAsia="Consolas" w:hAnsi="Consolas"/>
          <w:sz w:val="20"/>
          <w:szCs w:val="20"/>
        </w:rPr>
        <w:t xml:space="preserve">backend/.env</w:t>
      </w:r>
      <w:r>
        <w:t xml:space="preserve">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N8N_CHAT_WEBHOOK_URL=http://n8n:5678/webhook/&lt;id&gt;/chat</w:t>
      </w:r>
    </w:p>
    <w:p>
      <w:pPr>
        <w:spacing w:after="160"/>
      </w:pPr>
      <w:r>
        <w:t xml:space="preserve">Use the </w:t>
      </w:r>
      <w:r>
        <w:rPr>
          <w:rFonts w:ascii="Consolas" w:cs="Consolas" w:eastAsia="Consolas" w:hAnsi="Consolas"/>
          <w:sz w:val="20"/>
          <w:szCs w:val="20"/>
        </w:rPr>
        <w:t xml:space="preserve">n8n</w:t>
      </w:r>
      <w:r>
        <w:t xml:space="preserve"> service name, not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 — Laravel calls it from inside the same Docker network. Then restart the backend container, or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php artisan config:clear</w:t>
      </w:r>
    </w:p>
    <w:p>
      <w:pPr>
        <w:pStyle w:val="Heading2"/>
        <w:spacing w:after="150" w:before="300"/>
      </w:pPr>
      <w:r>
        <w:t xml:space="preserve">5.3 Give the Tool node a way back into Laravel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GET /api/lookup/{code}</w:t>
      </w:r>
      <w:r>
        <w:t xml:space="preserve"> sits behind </w:t>
      </w:r>
      <w:r>
        <w:rPr>
          <w:rFonts w:ascii="Consolas" w:cs="Consolas" w:eastAsia="Consolas" w:hAnsi="Consolas"/>
          <w:sz w:val="20"/>
          <w:szCs w:val="20"/>
        </w:rPr>
        <w:t xml:space="preserve">auth:sanctum</w:t>
      </w:r>
      <w:r>
        <w:t xml:space="preserve">, so the HTTP Request tool node (section 3.3) needs a bearer token: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Get one once — </w:t>
      </w:r>
      <w:r>
        <w:rPr>
          <w:rFonts w:ascii="Consolas" w:cs="Consolas" w:eastAsia="Consolas" w:hAnsi="Consolas"/>
          <w:sz w:val="20"/>
          <w:szCs w:val="20"/>
        </w:rPr>
        <w:t xml:space="preserve">POST http://localhost:8000/api/login</w:t>
      </w:r>
      <w:r>
        <w:t xml:space="preserve"> with body </w:t>
      </w:r>
      <w:r>
        <w:rPr>
          <w:rFonts w:ascii="Consolas" w:cs="Consolas" w:eastAsia="Consolas" w:hAnsi="Consolas"/>
          <w:sz w:val="20"/>
          <w:szCs w:val="20"/>
        </w:rPr>
        <w:t xml:space="preserve">{"email":"admin@erp.test","password":"password"}</w:t>
      </w:r>
      <w:r>
        <w:t xml:space="preserve"> — copy the </w:t>
      </w:r>
      <w:r>
        <w:rPr>
          <w:rFonts w:ascii="Consolas" w:cs="Consolas" w:eastAsia="Consolas" w:hAnsi="Consolas"/>
          <w:sz w:val="20"/>
          <w:szCs w:val="20"/>
        </w:rPr>
        <w:t xml:space="preserve">token</w:t>
      </w:r>
      <w:r>
        <w:t xml:space="preserve"> field from the response.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the HTTP Request tool node, add header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&lt;that token&gt;</w:t>
      </w:r>
      <w:r>
        <w:t xml:space="preserve">, or store it as an n8n </w:t>
      </w:r>
      <w:r>
        <w:rPr>
          <w:b/>
          <w:bCs/>
        </w:rPr>
        <w:t xml:space="preserve">Header Auth</w:t>
      </w:r>
      <w:r>
        <w:t xml:space="preserve"> credential instead of typing it in plain text on the node.</w:t>
      </w:r>
    </w:p>
    <w:p>
      <w:pPr>
        <w:spacing w:after="160" w:before="100"/>
      </w:pPr>
      <w:r>
        <w:t xml:space="preserve">Sanctum tokens don’t expire by default in this app; if one is ever revoked, generate a fresh one and update the header.</w:t>
      </w:r>
    </w:p>
    <w:p>
      <w:pPr>
        <w:pStyle w:val="Heading2"/>
        <w:spacing w:after="150" w:before="300"/>
      </w:pPr>
      <w:r>
        <w:t xml:space="preserve">5.4 Test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n8n’s built-in chat panel (bottom-left of the editor) to send a test message and confirm the AI Agent replies; check the Logs panel on the right to see whether it called the HTTP Request tool.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test through the real ERP: open http://localhost:5173, log in, click the chat bubble bottom-right, and ask a question.</w:t>
      </w:r>
    </w:p>
    <w:p>
      <w:pPr>
        <w:pStyle w:val="Heading1"/>
        <w:spacing w:after="200" w:before="400"/>
      </w:pPr>
      <w:r>
        <w:t xml:space="preserve">6. Using the Chat Assistant</w:t>
      </w:r>
    </w:p>
    <w:p>
      <w:pPr>
        <w:spacing w:after="160"/>
      </w:pPr>
      <w:r>
        <w:t xml:space="preserve">Every page of the ERP has a purple chat bubble in the bottom-right corner ("ERP Assistant"). Click it, then ask about any order or contact by its code, for example: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"What stage is PRD-00003 in?"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"What is the company of B2B-00011?"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"What’s the balance on INV-00007?"</w:t>
      </w:r>
    </w:p>
    <w:p>
      <w:pPr>
        <w:pStyle w:val="Heading2"/>
        <w:spacing w:after="150" w:before="300"/>
      </w:pPr>
      <w:r>
        <w:t xml:space="preserve">How one message travels end-to-end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User’s browser sends POST /api/chat/ask {message} to Laravel.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Laravel forwards it to the n8n chat webhook as {chatInput, sessionId}.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n8n’s AI Agent sends the message and its tool schema to Groq.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Groq decides to call the lookup tool, e.g. with code = PRD-00003.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n8n calls Laravel: GET /api/lookup/PRD-00003.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Laravel returns the order + contact + processes as JSON.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n8n sends that result back to Groq.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Groq produces the final answer text.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n8n returns {output: "..."} to Laravel, which replies {reply: "..."} to the browser.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Session memory: </w:t>
      </w:r>
      <w:r>
        <w:t xml:space="preserve">Laravel sends </w:t>
      </w:r>
      <w:r>
        <w:rPr>
          <w:rFonts w:ascii="Consolas" w:cs="Consolas" w:eastAsia="Consolas" w:hAnsi="Consolas"/>
          <w:sz w:val="20"/>
          <w:szCs w:val="20"/>
        </w:rPr>
        <w:t xml:space="preserve">sessionId = erp-user-&lt;user id&gt;</w:t>
      </w:r>
      <w:r>
        <w:t xml:space="preserve">, so each logged-in ERP user gets their own conversation thread in the Memory node — one person’s questions never leak into another’s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What it can actually answer: </w:t>
      </w:r>
      <w:r>
        <w:t xml:space="preserve">only what the lookup tool can fetch — production orders, contacts, quotations, invoices, purchase orders, and leads, by code. It can’t run free-form database queries or answer questions with no matching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If n8n is down or misconfigured: </w:t>
      </w:r>
      <w:r>
        <w:t xml:space="preserve">the chat bubble shows a friendly "couldn’t reach the assistant" message instead of a raw error — nothing in the rest of the ERP is affected.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2026-09-21T09:07:05.403Z</dcterms:created>
  <dcterms:modified xsi:type="dcterms:W3CDTF">2026-09-21T09:07:05.404Z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