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ADGM Personal AI — Agent Behaviours &amp; Answer Formats</w:t>
      </w:r>
    </w:p>
    <w:p>
      <w:r>
        <w:t>**Document purpose:** Stakeholder reference for how the five AI specialists behave, how they are selected for a question, and what structure answers follow.</w:t>
      </w:r>
    </w:p>
    <w:p>
      <w:r>
        <w:t>**Product:** ADGM Command Centre / Personal AI (Chief Strategy Office prototype)</w:t>
      </w:r>
    </w:p>
    <w:p>
      <w:r>
        <w:t>**Audience:** ADGM leadership, programme sponsors, architecture reviewers</w:t>
      </w:r>
    </w:p>
    <w:p>
      <w:r>
        <w:t>**Version:** June 2026 (aligned to current prototype specification)</w:t>
      </w:r>
    </w:p>
    <w:p/>
    <w:p>
      <w:pPr>
        <w:pStyle w:val="Heading1"/>
      </w:pPr>
      <w:r>
        <w:t>1. Executive summary</w:t>
      </w:r>
    </w:p>
    <w:p>
      <w:r>
        <w:t>The Personal AI platform uses **five specialist agents** coordinated by a **Chief of Staff orchestrator**. Stakeholders see **one unified answer** in the chat — not five separate conversations. Agent chips in the UI show **which specialists contributed** to that answer.</w:t>
      </w:r>
    </w:p>
    <w:p>
      <w:r>
        <w:t>Answers are grounded in demo institutional data: calendar, action register, knowledge base, market snapshot, and department metrics. When the Claude API is enabled, responses are generated live; otherwise the same structures are delivered from curated demo scripts.</w:t>
      </w:r>
    </w:p>
    <w:p/>
    <w:p>
      <w:pPr>
        <w:pStyle w:val="Heading1"/>
      </w:pPr>
      <w:r>
        <w:t>2. How orchestration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Concept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>
              <w:t>--------</w:t>
            </w:r>
          </w:p>
        </w:tc>
        <w:tc>
          <w:tcPr>
            <w:tcW w:type="dxa" w:w="4680"/>
          </w:tcPr>
          <w:p>
            <w:r>
              <w:t>-----------</w:t>
            </w:r>
          </w:p>
        </w:tc>
      </w:tr>
      <w:tr>
        <w:tc>
          <w:tcPr>
            <w:tcW w:type="dxa" w:w="4680"/>
          </w:tcPr>
          <w:p>
            <w:r>
              <w:t>**Unified reply**</w:t>
            </w:r>
          </w:p>
        </w:tc>
        <w:tc>
          <w:tcPr>
            <w:tcW w:type="dxa" w:w="4680"/>
          </w:tcPr>
          <w:p>
            <w:r>
              <w:t>Multiple agents may be active, but the executive receives a single markdown message.</w:t>
            </w:r>
          </w:p>
        </w:tc>
      </w:tr>
      <w:tr>
        <w:tc>
          <w:tcPr>
            <w:tcW w:type="dxa" w:w="4680"/>
          </w:tcPr>
          <w:p>
            <w:r>
              <w:t>**Agent chips**</w:t>
            </w:r>
          </w:p>
        </w:tc>
        <w:tc>
          <w:tcPr>
            <w:tcW w:type="dxa" w:w="4680"/>
          </w:tcPr>
          <w:p>
            <w:r>
              <w:t>UI highlights participating agents (e.g. Policy + Strategy) while the answer streams.</w:t>
            </w:r>
          </w:p>
        </w:tc>
      </w:tr>
      <w:tr>
        <w:tc>
          <w:tcPr>
            <w:tcW w:type="dxa" w:w="4680"/>
          </w:tcPr>
          <w:p>
            <w:r>
              <w:t>**Smart routing**</w:t>
            </w:r>
          </w:p>
        </w:tc>
        <w:tc>
          <w:tcPr>
            <w:tcW w:type="dxa" w:w="4680"/>
          </w:tcPr>
          <w:p>
            <w:r>
              <w:t>Default: system picks agents from the question topic (focus area). Can be turned off in Settings for manual selection.</w:t>
            </w:r>
          </w:p>
        </w:tc>
      </w:tr>
      <w:tr>
        <w:tc>
          <w:tcPr>
            <w:tcW w:type="dxa" w:w="4680"/>
          </w:tcPr>
          <w:p>
            <w:r>
              <w:t>**Explicit invoke**</w:t>
            </w:r>
          </w:p>
        </w:tc>
        <w:tc>
          <w:tcPr>
            <w:tcW w:type="dxa" w:w="4680"/>
          </w:tcPr>
          <w:p>
            <w:r>
              <w:t>User can target one agent with `@policy`, `@strategy`, `@cos`, `@crm`, or `@comms` in the question.</w:t>
            </w:r>
          </w:p>
        </w:tc>
      </w:tr>
      <w:tr>
        <w:tc>
          <w:tcPr>
            <w:tcW w:type="dxa" w:w="4680"/>
          </w:tcPr>
          <w:p>
            <w:r>
              <w:t>**Confidence &amp; sources**</w:t>
            </w:r>
          </w:p>
        </w:tc>
        <w:tc>
          <w:tcPr>
            <w:tcW w:type="dxa" w:w="4680"/>
          </w:tcPr>
          <w:p>
            <w:r>
              <w:t>Answers may show a confidence score and linked knowledge-base documents when available.</w:t>
            </w:r>
          </w:p>
        </w:tc>
      </w:tr>
      <w:tr>
        <w:tc>
          <w:tcPr>
            <w:tcW w:type="dxa" w:w="4680"/>
          </w:tcPr>
          <w:p>
            <w:r>
              <w:t>**Follow-ups**</w:t>
            </w:r>
          </w:p>
        </w:tc>
        <w:tc>
          <w:tcPr>
            <w:tcW w:type="dxa" w:w="4680"/>
          </w:tcPr>
          <w:p>
            <w:r>
              <w:t>Chat answers end with 2–3 suggested next questions; briefing documents do not.</w:t>
            </w:r>
          </w:p>
        </w:tc>
      </w:tr>
    </w:tbl>
    <w:p>
      <w:r>
        <w:rPr>
          <w:i/>
        </w:rPr>
        <w:t>**Typical flow**</w:t>
      </w:r>
    </w:p>
    <w:p>
      <w:r>
        <w:t>1. Executive asks a question (or selects a briefing format).</w:t>
      </w:r>
    </w:p>
    <w:p>
      <w:r>
        <w:t>2. System routes to one or more agents.</w:t>
      </w:r>
    </w:p>
    <w:p>
      <w:r>
        <w:t>3. Agents draw on calendar, CRM/actions, KB, and market feeds (demo data in prototype).</w:t>
      </w:r>
    </w:p>
    <w:p>
      <w:r>
        <w:t>4. Orchestrator synthesises one executive-grade markdown response.</w:t>
      </w:r>
    </w:p>
    <w:p>
      <w:r>
        <w:t>5. UI shows agents used, confidence, and sources.</w:t>
      </w:r>
    </w:p>
    <w:p/>
    <w:p>
      <w:pPr>
        <w:pStyle w:val="Heading1"/>
      </w:pPr>
      <w:r>
        <w:t>3. The five agents — roles &amp; behaviour</w:t>
      </w:r>
    </w:p>
    <w:p>
      <w:pPr>
        <w:pStyle w:val="Heading2"/>
      </w:pPr>
      <w:r>
        <w:t>3.1 Chief of Staff AI (Agent 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**Role**</w:t>
            </w:r>
          </w:p>
        </w:tc>
        <w:tc>
          <w:tcPr>
            <w:tcW w:type="dxa" w:w="4680"/>
          </w:tcPr>
          <w:p>
            <w:r>
              <w:t>Orchestrator — operational cadence of the executive office</w:t>
            </w:r>
          </w:p>
        </w:tc>
      </w:tr>
      <w:tr>
        <w:tc>
          <w:tcPr>
            <w:tcW w:type="dxa" w:w="4680"/>
          </w:tcPr>
          <w:p>
            <w:r>
              <w:t>**Tagline**</w:t>
            </w:r>
          </w:p>
        </w:tc>
        <w:tc>
          <w:tcPr>
            <w:tcW w:type="dxa" w:w="4680"/>
          </w:tcPr>
          <w:p>
            <w:r>
              <w:t>Routes tasks, synthesises outputs, tracks commitments</w:t>
            </w:r>
          </w:p>
        </w:tc>
      </w:tr>
      <w:tr>
        <w:tc>
          <w:tcPr>
            <w:tcW w:type="dxa" w:w="4680"/>
          </w:tcPr>
          <w:p>
            <w:r>
              <w:t>**Primary tools**</w:t>
            </w:r>
          </w:p>
        </w:tc>
        <w:tc>
          <w:tcPr>
            <w:tcW w:type="dxa" w:w="4680"/>
          </w:tcPr>
          <w:p>
            <w:r>
              <w:t>Calendar, action register, briefings</w:t>
            </w:r>
          </w:p>
        </w:tc>
      </w:tr>
      <w:tr>
        <w:tc>
          <w:tcPr>
            <w:tcW w:type="dxa" w:w="4680"/>
          </w:tcPr>
          <w:p>
            <w:r>
              <w:t>**Focus areas**</w:t>
            </w:r>
          </w:p>
        </w:tc>
        <w:tc>
          <w:tcPr>
            <w:tcW w:type="dxa" w:w="4680"/>
          </w:tcPr>
          <w:p>
            <w:r>
              <w:t>Meetings, stakeholders, knowledge</w:t>
            </w:r>
          </w:p>
        </w:tc>
      </w:tr>
      <w:tr>
        <w:tc>
          <w:tcPr>
            <w:tcW w:type="dxa" w:w="4680"/>
          </w:tcPr>
          <w:p>
            <w:r>
              <w:t>**Integrations (target)**</w:t>
            </w:r>
          </w:p>
        </w:tc>
        <w:tc>
          <w:tcPr>
            <w:tcW w:type="dxa" w:w="4680"/>
          </w:tcPr>
          <w:p>
            <w:r>
              <w:t>Microsoft Graph, CRM register, SharePoint</w:t>
            </w:r>
          </w:p>
        </w:tc>
      </w:tr>
    </w:tbl>
    <w:p>
      <w:r>
        <w:rPr>
          <w:i/>
        </w:rPr>
        <w:t>**Behaviour**</w:t>
      </w:r>
    </w:p>
    <w:p>
      <w:pPr>
        <w:pStyle w:val="ListBullet"/>
      </w:pPr>
      <w:r>
        <w:t>Owns meeting timing, prep status, and what the CSO must decide.</w:t>
      </w:r>
    </w:p>
    <w:p>
      <w:pPr>
        <w:pStyle w:val="ListBullet"/>
      </w:pPr>
      <w:r>
        <w:t>Surfaces open and overdue actions from the action register.</w:t>
      </w:r>
    </w:p>
    <w:p>
      <w:pPr>
        <w:pStyle w:val="ListBullet"/>
      </w:pPr>
      <w:r>
        <w:t>Assembles board-pack style summaries and morning-briefing orchestration.</w:t>
      </w:r>
    </w:p>
    <w:p>
      <w:pPr>
        <w:pStyle w:val="ListBullet"/>
      </w:pPr>
      <w:r>
        <w:t>Often included automatically when other agents run (unless already in the agent set).</w:t>
      </w:r>
    </w:p>
    <w:p>
      <w:r>
        <w:rPr>
          <w:i/>
        </w:rPr>
        <w:t>**Does not typically own**</w:t>
      </w:r>
    </w:p>
    <w:p>
      <w:pPr>
        <w:pStyle w:val="ListBullet"/>
      </w:pPr>
      <w:r>
        <w:t>Deep regulatory comparison tables (Policy AI).</w:t>
      </w:r>
    </w:p>
    <w:p>
      <w:pPr>
        <w:pStyle w:val="ListBullet"/>
      </w:pPr>
      <w:r>
        <w:t>Long competitor market essays without operational hook (Strategy AI).</w:t>
      </w:r>
    </w:p>
    <w:p>
      <w:pPr>
        <w:pStyle w:val="ListBullet"/>
      </w:pPr>
      <w:r>
        <w:t>Full bilingual ministerial drafts (Communications AI).</w:t>
      </w:r>
    </w:p>
    <w:p/>
    <w:p>
      <w:pPr>
        <w:pStyle w:val="Heading2"/>
      </w:pPr>
      <w:r>
        <w:t>3.2 Strategy AI (Agent 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**Role**</w:t>
            </w:r>
          </w:p>
        </w:tc>
        <w:tc>
          <w:tcPr>
            <w:tcW w:type="dxa" w:w="4680"/>
          </w:tcPr>
          <w:p>
            <w:r>
              <w:t>Market intelligence</w:t>
            </w:r>
          </w:p>
        </w:tc>
      </w:tr>
      <w:tr>
        <w:tc>
          <w:tcPr>
            <w:tcW w:type="dxa" w:w="4680"/>
          </w:tcPr>
          <w:p>
            <w:r>
              <w:t>**Tagline**</w:t>
            </w:r>
          </w:p>
        </w:tc>
        <w:tc>
          <w:tcPr>
            <w:tcW w:type="dxa" w:w="4680"/>
          </w:tcPr>
          <w:p>
            <w:r>
              <w:t>D33, competitors, geopolitical and sector signals</w:t>
            </w:r>
          </w:p>
        </w:tc>
      </w:tr>
      <w:tr>
        <w:tc>
          <w:tcPr>
            <w:tcW w:type="dxa" w:w="4680"/>
          </w:tcPr>
          <w:p>
            <w:r>
              <w:t>**Primary tools**</w:t>
            </w:r>
          </w:p>
        </w:tc>
        <w:tc>
          <w:tcPr>
            <w:tcW w:type="dxa" w:w="4680"/>
          </w:tcPr>
          <w:p>
            <w:r>
              <w:t>Bloomberg feed, D33 scorecard, competitor radar</w:t>
            </w:r>
          </w:p>
        </w:tc>
      </w:tr>
      <w:tr>
        <w:tc>
          <w:tcPr>
            <w:tcW w:type="dxa" w:w="4680"/>
          </w:tcPr>
          <w:p>
            <w:r>
              <w:t>**Focus areas**</w:t>
            </w:r>
          </w:p>
        </w:tc>
        <w:tc>
          <w:tcPr>
            <w:tcW w:type="dxa" w:w="4680"/>
          </w:tcPr>
          <w:p>
            <w:r>
              <w:t>Strategic intelligence, knowledge</w:t>
            </w:r>
          </w:p>
        </w:tc>
      </w:tr>
      <w:tr>
        <w:tc>
          <w:tcPr>
            <w:tcW w:type="dxa" w:w="4680"/>
          </w:tcPr>
          <w:p>
            <w:r>
              <w:t>**Integrations (target)**</w:t>
            </w:r>
          </w:p>
        </w:tc>
        <w:tc>
          <w:tcPr>
            <w:tcW w:type="dxa" w:w="4680"/>
          </w:tcPr>
          <w:p>
            <w:r>
              <w:t>Bloomberg / Refinitiv, regulatory feeds, knowledge base</w:t>
            </w:r>
          </w:p>
        </w:tc>
      </w:tr>
    </w:tbl>
    <w:p>
      <w:r>
        <w:rPr>
          <w:i/>
        </w:rPr>
        <w:t>**Behaviour**</w:t>
      </w:r>
    </w:p>
    <w:p>
      <w:pPr>
        <w:pStyle w:val="ListBullet"/>
      </w:pPr>
      <w:r>
        <w:t>Daily and on-demand intelligence: GCC markets, sector flows, competitor moves (DIFC, MAS, Hong Kong, Luxembourg).</w:t>
      </w:r>
    </w:p>
    <w:p>
      <w:pPr>
        <w:pStyle w:val="ListBullet"/>
      </w:pPr>
      <w:r>
        <w:t>Scores opportunities against **D33** and Abu Dhabi economic priorities.</w:t>
      </w:r>
    </w:p>
    <w:p>
      <w:pPr>
        <w:pStyle w:val="ListBullet"/>
      </w:pPr>
      <w:r>
        <w:t>Produces competitor benchmark tables (multi-dimension scoring).</w:t>
      </w:r>
    </w:p>
    <w:p>
      <w:pPr>
        <w:pStyle w:val="ListBullet"/>
      </w:pPr>
      <w:r>
        <w:t>Connects market signals to CSO implications and timing (“why now”).</w:t>
      </w:r>
    </w:p>
    <w:p>
      <w:r>
        <w:rPr>
          <w:i/>
        </w:rPr>
        <w:t>**Does not typically own**</w:t>
      </w:r>
    </w:p>
    <w:p>
      <w:pPr>
        <w:pStyle w:val="ListBullet"/>
      </w:pPr>
      <w:r>
        <w:t>CRM relationship warmth and meeting history (Relationship AI).</w:t>
      </w:r>
    </w:p>
    <w:p>
      <w:pPr>
        <w:pStyle w:val="ListBullet"/>
      </w:pPr>
      <w:r>
        <w:t>FSRA legal framework drafting (Policy AI).</w:t>
      </w:r>
    </w:p>
    <w:p>
      <w:pPr>
        <w:pStyle w:val="ListBullet"/>
      </w:pPr>
      <w:r>
        <w:t>Formal Arabic correspondence (Communications AI).</w:t>
      </w:r>
    </w:p>
    <w:p/>
    <w:p>
      <w:pPr>
        <w:pStyle w:val="Heading2"/>
      </w:pPr>
      <w:r>
        <w:t>3.3 Policy AI (Agent 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**Role**</w:t>
            </w:r>
          </w:p>
        </w:tc>
        <w:tc>
          <w:tcPr>
            <w:tcW w:type="dxa" w:w="4680"/>
          </w:tcPr>
          <w:p>
            <w:r>
              <w:t>Regulatory</w:t>
            </w:r>
          </w:p>
        </w:tc>
      </w:tr>
      <w:tr>
        <w:tc>
          <w:tcPr>
            <w:tcW w:type="dxa" w:w="4680"/>
          </w:tcPr>
          <w:p>
            <w:r>
              <w:t>**Tagline**</w:t>
            </w:r>
          </w:p>
        </w:tc>
        <w:tc>
          <w:tcPr>
            <w:tcW w:type="dxa" w:w="4680"/>
          </w:tcPr>
          <w:p>
            <w:r>
              <w:t>FSRA frameworks, MAS/FCA benchmarks, consultation drafts</w:t>
            </w:r>
          </w:p>
        </w:tc>
      </w:tr>
      <w:tr>
        <w:tc>
          <w:tcPr>
            <w:tcW w:type="dxa" w:w="4680"/>
          </w:tcPr>
          <w:p>
            <w:r>
              <w:t>**Primary tools**</w:t>
            </w:r>
          </w:p>
        </w:tc>
        <w:tc>
          <w:tcPr>
            <w:tcW w:type="dxa" w:w="4680"/>
          </w:tcPr>
          <w:p>
            <w:r>
              <w:t>Regulatory monitor, policy KB, impact memos</w:t>
            </w:r>
          </w:p>
        </w:tc>
      </w:tr>
      <w:tr>
        <w:tc>
          <w:tcPr>
            <w:tcW w:type="dxa" w:w="4680"/>
          </w:tcPr>
          <w:p>
            <w:r>
              <w:t>**Focus areas**</w:t>
            </w:r>
          </w:p>
        </w:tc>
        <w:tc>
          <w:tcPr>
            <w:tcW w:type="dxa" w:w="4680"/>
          </w:tcPr>
          <w:p>
            <w:r>
              <w:t>Regulatory, knowledge</w:t>
            </w:r>
          </w:p>
        </w:tc>
      </w:tr>
      <w:tr>
        <w:tc>
          <w:tcPr>
            <w:tcW w:type="dxa" w:w="4680"/>
          </w:tcPr>
          <w:p>
            <w:r>
              <w:t>**Integrations (target)**</w:t>
            </w:r>
          </w:p>
        </w:tc>
        <w:tc>
          <w:tcPr>
            <w:tcW w:type="dxa" w:w="4680"/>
          </w:tcPr>
          <w:p>
            <w:r>
              <w:t>Regulatory RSS/APIs, FSRA SharePoint</w:t>
            </w:r>
          </w:p>
        </w:tc>
      </w:tr>
    </w:tbl>
    <w:p>
      <w:r>
        <w:rPr>
          <w:i/>
        </w:rPr>
        <w:t>**Behaviour**</w:t>
      </w:r>
    </w:p>
    <w:p>
      <w:pPr>
        <w:pStyle w:val="ListBullet"/>
      </w:pPr>
      <w:r>
        <w:t>Monitors global regulation relevant to ADGM (12 jurisdictions in target state).</w:t>
      </w:r>
    </w:p>
    <w:p>
      <w:pPr>
        <w:pStyle w:val="ListBullet"/>
      </w:pPr>
      <w:r>
        <w:t>Compares ADGM/FSRA position vs international benchmarks (e.g. MAS digital assets).</w:t>
      </w:r>
    </w:p>
    <w:p>
      <w:pPr>
        <w:pStyle w:val="ListBullet"/>
      </w:pPr>
      <w:r>
        <w:t>Drafts and assesses policy consultations and impact memos.</w:t>
      </w:r>
    </w:p>
    <w:p>
      <w:pPr>
        <w:pStyle w:val="ListBullet"/>
      </w:pPr>
      <w:r>
        <w:t>Ties recommendations to dates in the action register when applicable.</w:t>
      </w:r>
    </w:p>
    <w:p>
      <w:r>
        <w:rPr>
          <w:i/>
        </w:rPr>
        <w:t>**Does not typically own**</w:t>
      </w:r>
    </w:p>
    <w:p>
      <w:pPr>
        <w:pStyle w:val="ListBullet"/>
      </w:pPr>
      <w:r>
        <w:t>Stakeholder relationship narratives (Relationship AI).</w:t>
      </w:r>
    </w:p>
    <w:p>
      <w:pPr>
        <w:pStyle w:val="ListBullet"/>
      </w:pPr>
      <w:r>
        <w:t>Generic market commentary without regulatory hook (Strategy AI).</w:t>
      </w:r>
    </w:p>
    <w:p/>
    <w:p>
      <w:pPr>
        <w:pStyle w:val="Heading2"/>
      </w:pPr>
      <w:r>
        <w:t>3.4 Relationship AI (Agent 04)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**Role**</w:t>
            </w:r>
          </w:p>
        </w:tc>
        <w:tc>
          <w:tcPr>
            <w:tcW w:type="dxa" w:w="4680"/>
          </w:tcPr>
          <w:p>
            <w:r>
              <w:t>Stakeholders (institutional CRM)</w:t>
            </w:r>
          </w:p>
        </w:tc>
      </w:tr>
      <w:tr>
        <w:tc>
          <w:tcPr>
            <w:tcW w:type="dxa" w:w="4680"/>
          </w:tcPr>
          <w:p>
            <w:r>
              <w:t>**Tagline**</w:t>
            </w:r>
          </w:p>
        </w:tc>
        <w:tc>
          <w:tcPr>
            <w:tcW w:type="dxa" w:w="4680"/>
          </w:tcPr>
          <w:p>
            <w:r>
              <w:t>CRM, partnerships, pre-meeting stakeholder profiles</w:t>
            </w:r>
          </w:p>
        </w:tc>
      </w:tr>
      <w:tr>
        <w:tc>
          <w:tcPr>
            <w:tcW w:type="dxa" w:w="4680"/>
          </w:tcPr>
          <w:p>
            <w:r>
              <w:t>**Primary tools**</w:t>
            </w:r>
          </w:p>
        </w:tc>
        <w:tc>
          <w:tcPr>
            <w:tcW w:type="dxa" w:w="4680"/>
          </w:tcPr>
          <w:p>
            <w:r>
              <w:t>Executive CRM, commitment tracker, partnership map</w:t>
            </w:r>
          </w:p>
        </w:tc>
      </w:tr>
      <w:tr>
        <w:tc>
          <w:tcPr>
            <w:tcW w:type="dxa" w:w="4680"/>
          </w:tcPr>
          <w:p>
            <w:r>
              <w:t>**Focus areas**</w:t>
            </w:r>
          </w:p>
        </w:tc>
        <w:tc>
          <w:tcPr>
            <w:tcW w:type="dxa" w:w="4680"/>
          </w:tcPr>
          <w:p>
            <w:r>
              <w:t>Stakeholders, meetings</w:t>
            </w:r>
          </w:p>
        </w:tc>
      </w:tr>
      <w:tr>
        <w:tc>
          <w:tcPr>
            <w:tcW w:type="dxa" w:w="4680"/>
          </w:tcPr>
          <w:p>
            <w:r>
              <w:t>**Integrations (target)**</w:t>
            </w:r>
          </w:p>
        </w:tc>
        <w:tc>
          <w:tcPr>
            <w:tcW w:type="dxa" w:w="4680"/>
          </w:tcPr>
          <w:p>
            <w:r>
              <w:t>CRM sync, LinkedIn, Microsoft Graph</w:t>
            </w:r>
          </w:p>
        </w:tc>
      </w:tr>
    </w:tbl>
    <w:p>
      <w:r>
        <w:rPr>
          <w:i/>
        </w:rPr>
        <w:t>**Behaviour**</w:t>
      </w:r>
    </w:p>
    <w:p>
      <w:pPr>
        <w:pStyle w:val="ListBullet"/>
      </w:pPr>
      <w:r>
        <w:t>Living stakeholder profiles: relationship warmth, last touchpoints, sensitivities.</w:t>
      </w:r>
    </w:p>
    <w:p>
      <w:pPr>
        <w:pStyle w:val="ListBullet"/>
      </w:pPr>
      <w:r>
        <w:t>Open commitments and follow-ups before/after meetings.</w:t>
      </w:r>
    </w:p>
    <w:p>
      <w:pPr>
        <w:pStyle w:val="ListBullet"/>
      </w:pPr>
      <w:r>
        <w:t>Partnership pipeline and network mapping across ADGM.</w:t>
      </w:r>
    </w:p>
    <w:p>
      <w:pPr>
        <w:pStyle w:val="ListBullet"/>
      </w:pPr>
      <w:r>
        <w:t>Pre-meeting “who” and “their likely agenda” alongside CoS.</w:t>
      </w:r>
    </w:p>
    <w:p>
      <w:r>
        <w:rPr>
          <w:i/>
        </w:rPr>
        <w:t>**Does not typically own**</w:t>
      </w:r>
    </w:p>
    <w:p>
      <w:pPr>
        <w:pStyle w:val="ListBullet"/>
      </w:pPr>
      <w:r>
        <w:t>Full regulatory benchmark matrices (Policy AI).</w:t>
      </w:r>
    </w:p>
    <w:p>
      <w:pPr>
        <w:pStyle w:val="ListBullet"/>
      </w:pPr>
      <w:r>
        <w:t>D33 sector ranking lists without stakeholder angle (Strategy AI).</w:t>
      </w:r>
    </w:p>
    <w:p/>
    <w:p>
      <w:pPr>
        <w:pStyle w:val="Heading2"/>
      </w:pPr>
      <w:r>
        <w:t>3.5 Communications AI (Agent 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**Role**</w:t>
            </w:r>
          </w:p>
        </w:tc>
        <w:tc>
          <w:tcPr>
            <w:tcW w:type="dxa" w:w="4680"/>
          </w:tcPr>
          <w:p>
            <w:r>
              <w:t>Executive voice</w:t>
            </w:r>
          </w:p>
        </w:tc>
      </w:tr>
      <w:tr>
        <w:tc>
          <w:tcPr>
            <w:tcW w:type="dxa" w:w="4680"/>
          </w:tcPr>
          <w:p>
            <w:r>
              <w:t>**Tagline**</w:t>
            </w:r>
          </w:p>
        </w:tc>
        <w:tc>
          <w:tcPr>
            <w:tcW w:type="dxa" w:w="4680"/>
          </w:tcPr>
          <w:p>
            <w:r>
              <w:t>Arabic/English speeches, ministerial notes, talking points</w:t>
            </w:r>
          </w:p>
        </w:tc>
      </w:tr>
      <w:tr>
        <w:tc>
          <w:tcPr>
            <w:tcW w:type="dxa" w:w="4680"/>
          </w:tcPr>
          <w:p>
            <w:r>
              <w:t>**Primary tools**</w:t>
            </w:r>
          </w:p>
        </w:tc>
        <w:tc>
          <w:tcPr>
            <w:tcW w:type="dxa" w:w="4680"/>
          </w:tcPr>
          <w:p>
            <w:r>
              <w:t>Voice learning, bilingual drafts, tone review</w:t>
            </w:r>
          </w:p>
        </w:tc>
      </w:tr>
      <w:tr>
        <w:tc>
          <w:tcPr>
            <w:tcW w:type="dxa" w:w="4680"/>
          </w:tcPr>
          <w:p>
            <w:r>
              <w:t>**Focus areas**</w:t>
            </w:r>
          </w:p>
        </w:tc>
        <w:tc>
          <w:tcPr>
            <w:tcW w:type="dxa" w:w="4680"/>
          </w:tcPr>
          <w:p>
            <w:r>
              <w:t>Communications, meetings</w:t>
            </w:r>
          </w:p>
        </w:tc>
      </w:tr>
      <w:tr>
        <w:tc>
          <w:tcPr>
            <w:tcW w:type="dxa" w:w="4680"/>
          </w:tcPr>
          <w:p>
            <w:r>
              <w:t>**Integrations (target)**</w:t>
            </w:r>
          </w:p>
        </w:tc>
        <w:tc>
          <w:tcPr>
            <w:tcW w:type="dxa" w:w="4680"/>
          </w:tcPr>
          <w:p>
            <w:r>
              <w:t>Microsoft Graph email, KB, style loop</w:t>
            </w:r>
          </w:p>
        </w:tc>
      </w:tr>
    </w:tbl>
    <w:p>
      <w:r>
        <w:rPr>
          <w:i/>
        </w:rPr>
        <w:t>**Behaviour**</w:t>
      </w:r>
    </w:p>
    <w:p>
      <w:pPr>
        <w:pStyle w:val="ListBullet"/>
      </w:pPr>
      <w:r>
        <w:t>Drafts speeches, talking points, and executive correspondence.</w:t>
      </w:r>
    </w:p>
    <w:p>
      <w:pPr>
        <w:pStyle w:val="ListBullet"/>
      </w:pPr>
      <w:r>
        <w:t>**Bilingual** Arabic and English with formal ministerial register.</w:t>
      </w:r>
    </w:p>
    <w:p>
      <w:pPr>
        <w:pStyle w:val="ListBullet"/>
      </w:pPr>
      <w:r>
        <w:t>Summarises and prioritises inbound correspondence.</w:t>
      </w:r>
    </w:p>
    <w:p>
      <w:pPr>
        <w:pStyle w:val="ListBullet"/>
      </w:pPr>
      <w:r>
        <w:t>Applies CSO voice learning from approved prior notes.</w:t>
      </w:r>
    </w:p>
    <w:p>
      <w:r>
        <w:rPr>
          <w:i/>
        </w:rPr>
        <w:t>**Does not typically own**</w:t>
      </w:r>
    </w:p>
    <w:p>
      <w:pPr>
        <w:pStyle w:val="ListBullet"/>
      </w:pPr>
      <w:r>
        <w:t>Dense regulatory comparison tables (Policy AI).</w:t>
      </w:r>
    </w:p>
    <w:p>
      <w:pPr>
        <w:pStyle w:val="ListBullet"/>
      </w:pPr>
      <w:r>
        <w:t>Raw action-register dumps without narrative framing (CoS).</w:t>
      </w:r>
    </w:p>
    <w:p/>
    <w:p>
      <w:pPr>
        <w:pStyle w:val="Heading1"/>
      </w:pPr>
      <w:r>
        <w:t>4. When each agent is selected (routing)</w:t>
      </w:r>
    </w:p>
    <w:p>
      <w:pPr>
        <w:pStyle w:val="Heading2"/>
      </w:pPr>
      <w:r>
        <w:t>4.1 Priority order</w:t>
      </w:r>
    </w:p>
    <w:p>
      <w:r>
        <w:t>1. **@mentions** in the question (e.g. `@policy Compare MAS stablecoin rules`).</w:t>
      </w:r>
    </w:p>
    <w:p>
      <w:r>
        <w:t>2. **Manual agent selection** (Settings → Smart routing off).</w:t>
      </w:r>
    </w:p>
    <w:p>
      <w:r>
        <w:t>3. **Focus-area match** from keywords / example prompts (see table below).</w:t>
      </w:r>
    </w:p>
    <w:p>
      <w:r>
        <w:t>4. **Chief of Staff prepended** to focus-area agents if CoS not already listed.</w:t>
      </w:r>
    </w:p>
    <w:p>
      <w:r>
        <w:t>5. **Default fallback:** Chief of Staff + Strategy + Policy.</w:t>
      </w:r>
    </w:p>
    <w:p>
      <w:pPr>
        <w:pStyle w:val="Heading2"/>
      </w:pPr>
      <w:r>
        <w:t>4.2 Focus area →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Focus area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Agents activated</w:t>
            </w:r>
          </w:p>
        </w:tc>
      </w:tr>
      <w:tr>
        <w:tc>
          <w:tcPr>
            <w:tcW w:type="dxa" w:w="4680"/>
          </w:tcPr>
          <w:p>
            <w:r>
              <w:t>------------</w:t>
            </w:r>
          </w:p>
        </w:tc>
        <w:tc>
          <w:tcPr>
            <w:tcW w:type="dxa" w:w="4680"/>
          </w:tcPr>
          <w:p>
            <w:r>
              <w:t>------------------</w:t>
            </w:r>
          </w:p>
        </w:tc>
      </w:tr>
      <w:tr>
        <w:tc>
          <w:tcPr>
            <w:tcW w:type="dxa" w:w="4680"/>
          </w:tcPr>
          <w:p>
            <w:r>
              <w:t>Strategic intelligence &amp; briefings</w:t>
            </w:r>
          </w:p>
        </w:tc>
        <w:tc>
          <w:tcPr>
            <w:tcW w:type="dxa" w:w="4680"/>
          </w:tcPr>
          <w:p>
            <w:r>
              <w:t>Strategy, Policy</w:t>
            </w:r>
          </w:p>
        </w:tc>
      </w:tr>
      <w:tr>
        <w:tc>
          <w:tcPr>
            <w:tcW w:type="dxa" w:w="4680"/>
          </w:tcPr>
          <w:p>
            <w:r>
              <w:t>Meetings &amp; agenda preparation</w:t>
            </w:r>
          </w:p>
        </w:tc>
        <w:tc>
          <w:tcPr>
            <w:tcW w:type="dxa" w:w="4680"/>
          </w:tcPr>
          <w:p>
            <w:r>
              <w:t>Chief of Staff, Relationship, Communications</w:t>
            </w:r>
          </w:p>
        </w:tc>
      </w:tr>
      <w:tr>
        <w:tc>
          <w:tcPr>
            <w:tcW w:type="dxa" w:w="4680"/>
          </w:tcPr>
          <w:p>
            <w:r>
              <w:t>Regulatory &amp; policy intelligence</w:t>
            </w:r>
          </w:p>
        </w:tc>
        <w:tc>
          <w:tcPr>
            <w:tcW w:type="dxa" w:w="4680"/>
          </w:tcPr>
          <w:p>
            <w:r>
              <w:t>Policy, Strategy</w:t>
            </w:r>
          </w:p>
        </w:tc>
      </w:tr>
      <w:tr>
        <w:tc>
          <w:tcPr>
            <w:tcW w:type="dxa" w:w="4680"/>
          </w:tcPr>
          <w:p>
            <w:r>
              <w:t>Correspondence &amp; communications</w:t>
            </w:r>
          </w:p>
        </w:tc>
        <w:tc>
          <w:tcPr>
            <w:tcW w:type="dxa" w:w="4680"/>
          </w:tcPr>
          <w:p>
            <w:r>
              <w:t>Communications, Chief of Staff</w:t>
            </w:r>
          </w:p>
        </w:tc>
      </w:tr>
      <w:tr>
        <w:tc>
          <w:tcPr>
            <w:tcW w:type="dxa" w:w="4680"/>
          </w:tcPr>
          <w:p>
            <w:r>
              <w:t>Stakeholder &amp; relationship management</w:t>
            </w:r>
          </w:p>
        </w:tc>
        <w:tc>
          <w:tcPr>
            <w:tcW w:type="dxa" w:w="4680"/>
          </w:tcPr>
          <w:p>
            <w:r>
              <w:t>Relationship, Chief of Staff</w:t>
            </w:r>
          </w:p>
        </w:tc>
      </w:tr>
      <w:tr>
        <w:tc>
          <w:tcPr>
            <w:tcW w:type="dxa" w:w="4680"/>
          </w:tcPr>
          <w:p>
            <w:r>
              <w:t>Knowledge management</w:t>
            </w:r>
          </w:p>
        </w:tc>
        <w:tc>
          <w:tcPr>
            <w:tcW w:type="dxa" w:w="4680"/>
          </w:tcPr>
          <w:p>
            <w:r>
              <w:t>Policy, Strategy, Chief of Staff</w:t>
            </w:r>
          </w:p>
        </w:tc>
      </w:tr>
    </w:tbl>
    <w:p>
      <w:pPr>
        <w:pStyle w:val="Heading2"/>
      </w:pPr>
      <w:r>
        <w:t>4.3 Example starter prompts → agents shown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Example question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Agents shown on answer</w:t>
            </w:r>
          </w:p>
        </w:tc>
      </w:tr>
      <w:tr>
        <w:tc>
          <w:tcPr>
            <w:tcW w:type="dxa" w:w="4680"/>
          </w:tcPr>
          <w:p>
            <w:r>
              <w:t>------------------</w:t>
            </w:r>
          </w:p>
        </w:tc>
        <w:tc>
          <w:tcPr>
            <w:tcW w:type="dxa" w:w="4680"/>
          </w:tcPr>
          <w:p>
            <w:r>
              <w:t>------------------------</w:t>
            </w:r>
          </w:p>
        </w:tc>
      </w:tr>
      <w:tr>
        <w:tc>
          <w:tcPr>
            <w:tcW w:type="dxa" w:w="4680"/>
          </w:tcPr>
          <w:p>
            <w:r>
              <w:t>Compare ADGM digital assets framework vs Singapore MAS</w:t>
            </w:r>
          </w:p>
        </w:tc>
        <w:tc>
          <w:tcPr>
            <w:tcW w:type="dxa" w:w="4680"/>
          </w:tcPr>
          <w:p>
            <w:r>
              <w:t>Strategy, Policy</w:t>
            </w:r>
          </w:p>
        </w:tc>
      </w:tr>
      <w:tr>
        <w:tc>
          <w:tcPr>
            <w:tcW w:type="dxa" w:w="4680"/>
          </w:tcPr>
          <w:p>
            <w:r>
              <w:t>ADGM 2024 strategic decisions vs D33</w:t>
            </w:r>
          </w:p>
        </w:tc>
        <w:tc>
          <w:tcPr>
            <w:tcW w:type="dxa" w:w="4680"/>
          </w:tcPr>
          <w:p>
            <w:r>
              <w:t>Strategy, Chief of Staff</w:t>
            </w:r>
          </w:p>
        </w:tc>
      </w:tr>
      <w:tr>
        <w:tc>
          <w:tcPr>
            <w:tcW w:type="dxa" w:w="4680"/>
          </w:tcPr>
          <w:p>
            <w:r>
              <w:t>Brief me on my 3pm meeting tomorrow</w:t>
            </w:r>
          </w:p>
        </w:tc>
        <w:tc>
          <w:tcPr>
            <w:tcW w:type="dxa" w:w="4680"/>
          </w:tcPr>
          <w:p>
            <w:r>
              <w:t>Chief of Staff, Relationship</w:t>
            </w:r>
          </w:p>
        </w:tc>
      </w:tr>
      <w:tr>
        <w:tc>
          <w:tcPr>
            <w:tcW w:type="dxa" w:w="4680"/>
          </w:tcPr>
          <w:p>
            <w:r>
              <w:t>Top investment opportunities for Abu Dhabi</w:t>
            </w:r>
          </w:p>
        </w:tc>
        <w:tc>
          <w:tcPr>
            <w:tcW w:type="dxa" w:w="4680"/>
          </w:tcPr>
          <w:p>
            <w:r>
              <w:t>Strategy</w:t>
            </w:r>
          </w:p>
        </w:tc>
      </w:tr>
      <w:tr>
        <w:tc>
          <w:tcPr>
            <w:tcW w:type="dxa" w:w="4680"/>
          </w:tcPr>
          <w:p>
            <w:r>
              <w:t>Draft HH office note on Q2 performance in Arabic</w:t>
            </w:r>
          </w:p>
        </w:tc>
        <w:tc>
          <w:tcPr>
            <w:tcW w:type="dxa" w:w="4680"/>
          </w:tcPr>
          <w:p>
            <w:r>
              <w:t>Communications</w:t>
            </w:r>
          </w:p>
        </w:tc>
      </w:tr>
    </w:tbl>
    <w:p/>
    <w:p>
      <w:pPr>
        <w:pStyle w:val="Heading1"/>
      </w:pPr>
      <w:r>
        <w:t>5. Answer formats (what stakeholders should expect)</w:t>
      </w:r>
    </w:p>
    <w:p>
      <w:pPr>
        <w:pStyle w:val="Heading2"/>
      </w:pPr>
      <w:r>
        <w:t>5.1 General chat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4680"/>
          </w:tcPr>
          <w:p>
            <w:r>
              <w:t>---------</w:t>
            </w:r>
          </w:p>
        </w:tc>
        <w:tc>
          <w:tcPr>
            <w:tcW w:type="dxa" w:w="4680"/>
          </w:tcPr>
          <w:p>
            <w:r>
              <w:t>--------</w:t>
            </w:r>
          </w:p>
        </w:tc>
      </w:tr>
      <w:tr>
        <w:tc>
          <w:tcPr>
            <w:tcW w:type="dxa" w:w="4680"/>
          </w:tcPr>
          <w:p>
            <w:r>
              <w:t>**Language**</w:t>
            </w:r>
          </w:p>
        </w:tc>
        <w:tc>
          <w:tcPr>
            <w:tcW w:type="dxa" w:w="4680"/>
          </w:tcPr>
          <w:p>
            <w:r>
              <w:t>Executive English by default; Modern Standard Arabic when user writes in Arabic or requests AR output</w:t>
            </w:r>
          </w:p>
        </w:tc>
      </w:tr>
      <w:tr>
        <w:tc>
          <w:tcPr>
            <w:tcW w:type="dxa" w:w="4680"/>
          </w:tcPr>
          <w:p>
            <w:r>
              <w:t>**Structure**</w:t>
            </w:r>
          </w:p>
        </w:tc>
        <w:tc>
          <w:tcPr>
            <w:tcW w:type="dxa" w:w="4680"/>
          </w:tcPr>
          <w:p>
            <w:r>
              <w:t>Markdown: `##` headings, bullet lists, tables where useful</w:t>
            </w:r>
          </w:p>
        </w:tc>
      </w:tr>
      <w:tr>
        <w:tc>
          <w:tcPr>
            <w:tcW w:type="dxa" w:w="4680"/>
          </w:tcPr>
          <w:p>
            <w:r>
              <w:t>**Tone**</w:t>
            </w:r>
          </w:p>
        </w:tc>
        <w:tc>
          <w:tcPr>
            <w:tcW w:type="dxa" w:w="4680"/>
          </w:tcPr>
          <w:p>
            <w:r>
              <w:t>Decision-ready, specific to ADGM, Abu Dhabi, and D33</w:t>
            </w:r>
          </w:p>
        </w:tc>
      </w:tr>
      <w:tr>
        <w:tc>
          <w:tcPr>
            <w:tcW w:type="dxa" w:w="4680"/>
          </w:tcPr>
          <w:p>
            <w:r>
              <w:t>**Grounding**</w:t>
            </w:r>
          </w:p>
        </w:tc>
        <w:tc>
          <w:tcPr>
            <w:tcW w:type="dxa" w:w="4680"/>
          </w:tcPr>
          <w:p>
            <w:r>
              <w:t>Cites calendar, actions, KB document names; states when inferring</w:t>
            </w:r>
          </w:p>
        </w:tc>
      </w:tr>
      <w:tr>
        <w:tc>
          <w:tcPr>
            <w:tcW w:type="dxa" w:w="4680"/>
          </w:tcPr>
          <w:p>
            <w:r>
              <w:t>**Closing**</w:t>
            </w:r>
          </w:p>
        </w:tc>
        <w:tc>
          <w:tcPr>
            <w:tcW w:type="dxa" w:w="4680"/>
          </w:tcPr>
          <w:p>
            <w:r>
              <w:t>2–3 short follow-up prompts the CSO might ask next</w:t>
            </w:r>
          </w:p>
        </w:tc>
      </w:tr>
      <w:tr>
        <w:tc>
          <w:tcPr>
            <w:tcW w:type="dxa" w:w="4680"/>
          </w:tcPr>
          <w:p>
            <w:r>
              <w:t>**UI metadata**</w:t>
            </w:r>
          </w:p>
        </w:tc>
        <w:tc>
          <w:tcPr>
            <w:tcW w:type="dxa" w:w="4680"/>
          </w:tcPr>
          <w:p>
            <w:r>
              <w:t>Agent chips, confidence %, source document links</w:t>
            </w:r>
          </w:p>
        </w:tc>
      </w:tr>
    </w:tbl>
    <w:p>
      <w:r>
        <w:t>**Live AI (Claude):** One synthesised answer coordinating all active specialist perspectives (see system rules in platform).</w:t>
      </w:r>
    </w:p>
    <w:p>
      <w:r>
        <w:t>**Demo mode:** Same topics use scripted templates matching the structures below.</w:t>
      </w:r>
    </w:p>
    <w:p/>
    <w:p>
      <w:pPr>
        <w:pStyle w:val="Heading2"/>
      </w:pPr>
      <w:r>
        <w:t>5.2 Agent-specific content patterns</w:t>
      </w:r>
    </w:p>
    <w:p>
      <w:r>
        <w:t>Use these as the **expected sections** inside a unified answer (headings may vary slightly in live AI).</w:t>
      </w:r>
    </w:p>
    <w:p>
      <w:pPr>
        <w:pStyle w:val="Heading3"/>
      </w:pPr>
      <w:r>
        <w:t>Chief of Staff AI</w:t>
      </w:r>
    </w:p>
    <w:p>
      <w:pPr>
        <w:pStyle w:val="ListBullet"/>
      </w:pPr>
      <w:r>
        <w:t>Meeting: **when, where, prep status**</w:t>
      </w:r>
    </w:p>
    <w:p>
      <w:pPr>
        <w:pStyle w:val="ListBullet"/>
      </w:pPr>
      <w:r>
        <w:t>**Attendees** and decision required from CSO</w:t>
      </w:r>
    </w:p>
    <w:p>
      <w:pPr>
        <w:pStyle w:val="ListBullet"/>
      </w:pPr>
      <w:r>
        <w:t>**Open / overdue actions** (owner, due date, status)</w:t>
      </w:r>
    </w:p>
    <w:p>
      <w:pPr>
        <w:pStyle w:val="ListBullet"/>
      </w:pPr>
      <w:r>
        <w:t>**Recommended next steps** (numbered, 1–3 items)</w:t>
      </w:r>
    </w:p>
    <w:p>
      <w:pPr>
        <w:pStyle w:val="Heading3"/>
      </w:pPr>
      <w:r>
        <w:t>Strategy AI</w:t>
      </w:r>
    </w:p>
    <w:p>
      <w:pPr>
        <w:pStyle w:val="ListBullet"/>
      </w:pPr>
      <w:r>
        <w:t>**Market &amp; competitor context** (GCC, sectors, named centres)</w:t>
      </w:r>
    </w:p>
    <w:p>
      <w:pPr>
        <w:pStyle w:val="ListBullet"/>
      </w:pPr>
      <w:r>
        <w:t>**D33 alignment** or opportunity scores</w:t>
      </w:r>
    </w:p>
    <w:p>
      <w:pPr>
        <w:pStyle w:val="ListBullet"/>
      </w:pPr>
      <w:r>
        <w:t>**Strategic read** — one clear implication for the CSO</w:t>
      </w:r>
    </w:p>
    <w:p>
      <w:pPr>
        <w:pStyle w:val="ListBullet"/>
      </w:pPr>
      <w:r>
        <w:t>Tables: competitor comparison or ranked opportunities</w:t>
      </w:r>
    </w:p>
    <w:p>
      <w:pPr>
        <w:pStyle w:val="Heading3"/>
      </w:pPr>
      <w:r>
        <w:t>Policy AI</w:t>
      </w:r>
    </w:p>
    <w:p>
      <w:pPr>
        <w:pStyle w:val="ListBullet"/>
      </w:pPr>
      <w:r>
        <w:t>**ADGM / FSRA position** in plain language</w:t>
      </w:r>
    </w:p>
    <w:p>
      <w:pPr>
        <w:pStyle w:val="ListBullet"/>
      </w:pPr>
      <w:r>
        <w:t>**What changed** (consultation, guidance, jurisdiction)</w:t>
      </w:r>
    </w:p>
    <w:p>
      <w:pPr>
        <w:pStyle w:val="ListBullet"/>
      </w:pPr>
      <w:r>
        <w:t>**Benchmark table:** dimension × ADGM × comparator (e.g. MAS)</w:t>
      </w:r>
    </w:p>
    <w:p>
      <w:pPr>
        <w:pStyle w:val="ListBullet"/>
      </w:pPr>
      <w:r>
        <w:t>**Recommended regulatory action** with date if in action register</w:t>
      </w:r>
    </w:p>
    <w:p>
      <w:pPr>
        <w:pStyle w:val="Heading3"/>
      </w:pPr>
      <w:r>
        <w:t>Relationship AI</w:t>
      </w:r>
    </w:p>
    <w:p>
      <w:pPr>
        <w:pStyle w:val="ListBullet"/>
      </w:pPr>
      <w:r>
        <w:t>**Relationship status** (warm / neutral / new) and last engagement</w:t>
      </w:r>
    </w:p>
    <w:p>
      <w:pPr>
        <w:pStyle w:val="ListBullet"/>
      </w:pPr>
      <w:r>
        <w:t>**Their likely agenda** or interests</w:t>
      </w:r>
    </w:p>
    <w:p>
      <w:pPr>
        <w:pStyle w:val="ListBullet"/>
      </w:pPr>
      <w:r>
        <w:t>**Open commitments** (table or bullets)</w:t>
      </w:r>
    </w:p>
    <w:p>
      <w:pPr>
        <w:pStyle w:val="ListBullet"/>
      </w:pPr>
      <w:r>
        <w:t>**Suggested next step** for the engagement</w:t>
      </w:r>
    </w:p>
    <w:p>
      <w:pPr>
        <w:pStyle w:val="Heading3"/>
      </w:pPr>
      <w:r>
        <w:t>Communications AI</w:t>
      </w:r>
    </w:p>
    <w:p>
      <w:pPr>
        <w:pStyle w:val="ListBullet"/>
      </w:pPr>
      <w:r>
        <w:t>**Talking points** or correspondence intent (bullets)</w:t>
      </w:r>
    </w:p>
    <w:p>
      <w:pPr>
        <w:pStyle w:val="ListBullet"/>
      </w:pPr>
      <w:r>
        <w:t>**Bilingual blocks** when requested: **العربية** then **English** (formal honorifics)</w:t>
      </w:r>
    </w:p>
    <w:p>
      <w:pPr>
        <w:pStyle w:val="ListBullet"/>
      </w:pPr>
      <w:r>
        <w:t>Tone note: ministerial / keynote / FSRA terminology review</w:t>
      </w:r>
    </w:p>
    <w:p/>
    <w:p>
      <w:pPr>
        <w:pStyle w:val="Heading1"/>
      </w:pPr>
      <w:r>
        <w:t>6. Six briefing document formats</w:t>
      </w:r>
    </w:p>
    <w:p>
      <w:r>
        <w:t>Briefings are **structured documents** (not casual chat). Target read time: **under 2 minutes**. No generic closing prompts.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Briefing 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Typical agents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 structure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Target time</w:t>
            </w:r>
          </w:p>
        </w:tc>
      </w:tr>
      <w:tr>
        <w:tc>
          <w:tcPr>
            <w:tcW w:type="dxa" w:w="2340"/>
          </w:tcPr>
          <w:p>
            <w:r>
              <w:t>---------------</w:t>
            </w:r>
          </w:p>
        </w:tc>
        <w:tc>
          <w:tcPr>
            <w:tcW w:type="dxa" w:w="2340"/>
          </w:tcPr>
          <w:p>
            <w:r>
              <w:t>----------------</w:t>
            </w:r>
          </w:p>
        </w:tc>
        <w:tc>
          <w:tcPr>
            <w:tcW w:type="dxa" w:w="2340"/>
          </w:tcPr>
          <w:p>
            <w:r>
              <w:t>-------------------</w:t>
            </w:r>
          </w:p>
        </w:tc>
        <w:tc>
          <w:tcPr>
            <w:tcW w:type="dxa" w:w="2340"/>
          </w:tcPr>
          <w:p>
            <w:r>
              <w:t>-------------</w:t>
            </w:r>
          </w:p>
        </w:tc>
      </w:tr>
      <w:tr>
        <w:tc>
          <w:tcPr>
            <w:tcW w:type="dxa" w:w="2340"/>
          </w:tcPr>
          <w:p>
            <w:r>
              <w:t>**Pre-meeting brief**</w:t>
            </w:r>
          </w:p>
        </w:tc>
        <w:tc>
          <w:tcPr>
            <w:tcW w:type="dxa" w:w="2340"/>
          </w:tcPr>
          <w:p>
            <w:r>
              <w:t>CoS, Relationship, Strategy</w:t>
            </w:r>
          </w:p>
        </w:tc>
        <w:tc>
          <w:tcPr>
            <w:tcW w:type="dxa" w:w="2340"/>
          </w:tcPr>
          <w:p>
            <w:r>
              <w:t>Who → Their likely agenda → Talking points → Watch-outs → Suggested ask</w:t>
            </w:r>
          </w:p>
        </w:tc>
        <w:tc>
          <w:tcPr>
            <w:tcW w:type="dxa" w:w="2340"/>
          </w:tcPr>
          <w:p>
            <w:r>
              <w:t>&lt; 30 s</w:t>
            </w:r>
          </w:p>
        </w:tc>
      </w:tr>
      <w:tr>
        <w:tc>
          <w:tcPr>
            <w:tcW w:type="dxa" w:w="2340"/>
          </w:tcPr>
          <w:p>
            <w:r>
              <w:t>**Board pack summary**</w:t>
            </w:r>
          </w:p>
        </w:tc>
        <w:tc>
          <w:tcPr>
            <w:tcW w:type="dxa" w:w="2340"/>
          </w:tcPr>
          <w:p>
            <w:r>
              <w:t>CoS, Strategy</w:t>
            </w:r>
          </w:p>
        </w:tc>
        <w:tc>
          <w:tcPr>
            <w:tcW w:type="dxa" w:w="2340"/>
          </w:tcPr>
          <w:p>
            <w:r>
              <w:t>Decisions required → D33 alignment → Risks → One recommendation</w:t>
            </w:r>
          </w:p>
        </w:tc>
        <w:tc>
          <w:tcPr>
            <w:tcW w:type="dxa" w:w="2340"/>
          </w:tcPr>
          <w:p>
            <w:r>
              <w:t>&lt; 60 s</w:t>
            </w:r>
          </w:p>
        </w:tc>
      </w:tr>
      <w:tr>
        <w:tc>
          <w:tcPr>
            <w:tcW w:type="dxa" w:w="2340"/>
          </w:tcPr>
          <w:p>
            <w:r>
              <w:t>**Stakeholder profile**</w:t>
            </w:r>
          </w:p>
        </w:tc>
        <w:tc>
          <w:tcPr>
            <w:tcW w:type="dxa" w:w="2340"/>
          </w:tcPr>
          <w:p>
            <w:r>
              <w:t>Relationship, CoS</w:t>
            </w:r>
          </w:p>
        </w:tc>
        <w:tc>
          <w:tcPr>
            <w:tcW w:type="dxa" w:w="2340"/>
          </w:tcPr>
          <w:p>
            <w:r>
              <w:t>Relationship &amp; history → Focus areas → Open follow-ups → Next step</w:t>
            </w:r>
          </w:p>
        </w:tc>
        <w:tc>
          <w:tcPr>
            <w:tcW w:type="dxa" w:w="2340"/>
          </w:tcPr>
          <w:p>
            <w:r>
              <w:t>&lt; 30 s</w:t>
            </w:r>
          </w:p>
        </w:tc>
      </w:tr>
      <w:tr>
        <w:tc>
          <w:tcPr>
            <w:tcW w:type="dxa" w:w="2340"/>
          </w:tcPr>
          <w:p>
            <w:r>
              <w:t>**Policy impact analysis**</w:t>
            </w:r>
          </w:p>
        </w:tc>
        <w:tc>
          <w:tcPr>
            <w:tcW w:type="dxa" w:w="2340"/>
          </w:tcPr>
          <w:p>
            <w:r>
              <w:t>Policy, Strategy</w:t>
            </w:r>
          </w:p>
        </w:tc>
        <w:tc>
          <w:tcPr>
            <w:tcW w:type="dxa" w:w="2340"/>
          </w:tcPr>
          <w:p>
            <w:r>
              <w:t>What changed → Impact on ADGM → Gap vs competitor → Recommended action</w:t>
            </w:r>
          </w:p>
        </w:tc>
        <w:tc>
          <w:tcPr>
            <w:tcW w:type="dxa" w:w="2340"/>
          </w:tcPr>
          <w:p>
            <w:r>
              <w:t>&lt; 90 s</w:t>
            </w:r>
          </w:p>
        </w:tc>
      </w:tr>
      <w:tr>
        <w:tc>
          <w:tcPr>
            <w:tcW w:type="dxa" w:w="2340"/>
          </w:tcPr>
          <w:p>
            <w:r>
              <w:t>**Strategic opportunity brief**</w:t>
            </w:r>
          </w:p>
        </w:tc>
        <w:tc>
          <w:tcPr>
            <w:tcW w:type="dxa" w:w="2340"/>
          </w:tcPr>
          <w:p>
            <w:r>
              <w:t>Strategy</w:t>
            </w:r>
          </w:p>
        </w:tc>
        <w:tc>
          <w:tcPr>
            <w:tcW w:type="dxa" w:w="2340"/>
          </w:tcPr>
          <w:p>
            <w:r>
              <w:t>4 opportunities with D33-style scores → Top 2 recommendations → Why now</w:t>
            </w:r>
          </w:p>
        </w:tc>
        <w:tc>
          <w:tcPr>
            <w:tcW w:type="dxa" w:w="2340"/>
          </w:tcPr>
          <w:p>
            <w:r>
              <w:t>&lt; 60 s</w:t>
            </w:r>
          </w:p>
        </w:tc>
      </w:tr>
      <w:tr>
        <w:tc>
          <w:tcPr>
            <w:tcW w:type="dxa" w:w="2340"/>
          </w:tcPr>
          <w:p>
            <w:r>
              <w:t>**Ministerial note (AR/EN)**</w:t>
            </w:r>
          </w:p>
        </w:tc>
        <w:tc>
          <w:tcPr>
            <w:tcW w:type="dxa" w:w="2340"/>
          </w:tcPr>
          <w:p>
            <w:r>
              <w:t>Communications, Strategy</w:t>
            </w:r>
          </w:p>
        </w:tc>
        <w:tc>
          <w:tcPr>
            <w:tcW w:type="dxa" w:w="2340"/>
          </w:tcPr>
          <w:p>
            <w:r>
              <w:t>Formal Arabic paragraph(s) → English paragraph(s) → Key metrics cited</w:t>
            </w:r>
          </w:p>
        </w:tc>
        <w:tc>
          <w:tcPr>
            <w:tcW w:type="dxa" w:w="2340"/>
          </w:tcPr>
          <w:p>
            <w:r>
              <w:t>&lt; 45 s</w:t>
            </w:r>
          </w:p>
        </w:tc>
      </w:tr>
    </w:tbl>
    <w:p>
      <w:r>
        <w:rPr>
          <w:i/>
        </w:rPr>
        <w:t>**Data injected into every briefing**</w:t>
      </w:r>
    </w:p>
    <w:p>
      <w:pPr>
        <w:pStyle w:val="ListBullet"/>
      </w:pPr>
      <w:r>
        <w:t>Next or relevant **calendar meeting** (title, time UAE, attendees, location, prep status)</w:t>
      </w:r>
    </w:p>
    <w:p>
      <w:pPr>
        <w:pStyle w:val="ListBullet"/>
      </w:pPr>
      <w:r>
        <w:t>**Open action register**</w:t>
      </w:r>
    </w:p>
    <w:p>
      <w:pPr>
        <w:pStyle w:val="ListBullet"/>
      </w:pPr>
      <w:r>
        <w:t>**Market snapshot** (GCC, digital assets, competitor note, top sector)</w:t>
      </w:r>
    </w:p>
    <w:p>
      <w:pPr>
        <w:pStyle w:val="ListBullet"/>
      </w:pPr>
      <w:r>
        <w:t>**Knowledge base** document list (cite names when used)</w:t>
      </w:r>
    </w:p>
    <w:p/>
    <w:p>
      <w:pPr>
        <w:pStyle w:val="Heading1"/>
      </w:pPr>
      <w:r>
        <w:t>7. Worked examples (demo-quality structures)</w:t>
      </w:r>
    </w:p>
    <w:p>
      <w:pPr>
        <w:pStyle w:val="Heading2"/>
      </w:pPr>
      <w:r>
        <w:t>7.1 Policy + Strategy — Digital assets vs MAS</w:t>
      </w:r>
    </w:p>
    <w:p>
      <w:pPr>
        <w:spacing w:before="120" w:after="160"/>
        <w:ind w:left="504"/>
      </w:pPr>
      <w:r>
        <w:rPr>
          <w:rFonts w:ascii="Consolas" w:hAnsi="Consolas"/>
          <w:color w:val="333333"/>
          <w:sz w:val="18"/>
        </w:rPr>
        <w:t>## ADGM vs Singapore (MAS) — Digital Assets Framework</w:t>
        <w:br/>
        <w:br/>
        <w:t>Where ADGM leads</w:t>
        <w:br/>
        <w:t>• English common law certainty for tokenisation</w:t>
        <w:br/>
        <w:t>• Early FSRA licensing track record</w:t>
        <w:br/>
        <w:br/>
        <w:t>Where MAS leads</w:t>
        <w:br/>
        <w:t>• Retail-access experimentation; stablecoin framework depth</w:t>
        <w:br/>
        <w:br/>
        <w:t>Benchmark (Strategy AI)</w:t>
        <w:br/>
        <w:t>• Digital-assets framework — ADGM 88 / MAS 90</w:t>
        <w:br/>
        <w:t>• Regulatory agility — ADGM 86 / MAS 88</w:t>
        <w:br/>
        <w:br/>
        <w:t>Recommended action (Policy)</w:t>
        <w:br/>
        <w:t>• Accelerate FSRA digital-fund guidance; foreground legal-certainty advantage</w:t>
      </w:r>
    </w:p>
    <w:p>
      <w:pPr>
        <w:pStyle w:val="Heading2"/>
      </w:pPr>
      <w:r>
        <w:t>7.2 CoS + Relationship — Pre-meeting brief</w:t>
      </w:r>
    </w:p>
    <w:p>
      <w:pPr>
        <w:spacing w:before="120" w:after="160"/>
        <w:ind w:left="504"/>
      </w:pPr>
      <w:r>
        <w:rPr>
          <w:rFonts w:ascii="Consolas" w:hAnsi="Consolas"/>
          <w:color w:val="333333"/>
          <w:sz w:val="18"/>
        </w:rPr>
        <w:t>## Pre-meeting brief — [Meeting title]</w:t>
        <w:br/>
        <w:br/>
        <w:t>Who — attendees, relationship warmth, last engagement</w:t>
        <w:br/>
        <w:t>Their agenda — expected topics</w:t>
        <w:br/>
        <w:t>Your talking points — 3 bullets</w:t>
        <w:br/>
        <w:t>Watch-outs — sensitivities</w:t>
        <w:br/>
        <w:t>Suggested ask — one concrete ask before Q3</w:t>
      </w:r>
    </w:p>
    <w:p>
      <w:pPr>
        <w:pStyle w:val="Heading2"/>
      </w:pPr>
      <w:r>
        <w:t>7.3 Communications — Ministerial note</w:t>
      </w:r>
    </w:p>
    <w:p>
      <w:pPr>
        <w:spacing w:before="120" w:after="160"/>
        <w:ind w:left="504"/>
      </w:pPr>
      <w:r>
        <w:rPr>
          <w:rFonts w:ascii="Consolas" w:hAnsi="Consolas"/>
          <w:color w:val="333333"/>
          <w:sz w:val="18"/>
        </w:rPr>
        <w:t>## Ministerial note — Q2 performance</w:t>
        <w:br/>
        <w:br/>
        <w:t>العربية</w:t>
        <w:br/>
        <w:t>[Formal paragraph to HH office]</w:t>
        <w:br/>
        <w:br/>
        <w:t>English</w:t>
        <w:br/>
        <w:t>[Matching formal paragraph]</w:t>
        <w:br/>
        <w:br/>
        <w:t>[Optional: metrics from Strategy/CoS — departments green, D33 score]</w:t>
      </w:r>
    </w:p>
    <w:p/>
    <w:p>
      <w:pPr>
        <w:pStyle w:val="Heading1"/>
      </w:pPr>
      <w:r>
        <w:t>8. Prototype vs production (stakeholder clarity)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Prototype (today)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Production target</w:t>
            </w:r>
          </w:p>
        </w:tc>
      </w:tr>
      <w:tr>
        <w:tc>
          <w:tcPr>
            <w:tcW w:type="dxa" w:w="3120"/>
          </w:tcPr>
          <w:p>
            <w:r>
              <w:t>------------</w:t>
            </w:r>
          </w:p>
        </w:tc>
        <w:tc>
          <w:tcPr>
            <w:tcW w:type="dxa" w:w="3120"/>
          </w:tcPr>
          <w:p>
            <w:r>
              <w:t>-------------------</w:t>
            </w:r>
          </w:p>
        </w:tc>
        <w:tc>
          <w:tcPr>
            <w:tcW w:type="dxa" w:w="3120"/>
          </w:tcPr>
          <w:p>
            <w:r>
              <w:t>-------------------</w:t>
            </w:r>
          </w:p>
        </w:tc>
      </w:tr>
      <w:tr>
        <w:tc>
          <w:tcPr>
            <w:tcW w:type="dxa" w:w="3120"/>
          </w:tcPr>
          <w:p>
            <w:r>
              <w:t>Agent routing</w:t>
            </w:r>
          </w:p>
        </w:tc>
        <w:tc>
          <w:tcPr>
            <w:tcW w:type="dxa" w:w="3120"/>
          </w:tcPr>
          <w:p>
            <w:r>
              <w:t>Keyword + focus-area rules</w:t>
            </w:r>
          </w:p>
        </w:tc>
        <w:tc>
          <w:tcPr>
            <w:tcW w:type="dxa" w:w="3120"/>
          </w:tcPr>
          <w:p>
            <w:r>
              <w:t>LangGraph orchestration graph</w:t>
            </w:r>
          </w:p>
        </w:tc>
      </w:tr>
      <w:tr>
        <w:tc>
          <w:tcPr>
            <w:tcW w:type="dxa" w:w="3120"/>
          </w:tcPr>
          <w:p>
            <w:r>
              <w:t>Data</w:t>
            </w:r>
          </w:p>
        </w:tc>
        <w:tc>
          <w:tcPr>
            <w:tcW w:type="dxa" w:w="3120"/>
          </w:tcPr>
          <w:p>
            <w:r>
              <w:t>Seeded demo store + local persistence</w:t>
            </w:r>
          </w:p>
        </w:tc>
        <w:tc>
          <w:tcPr>
            <w:tcW w:type="dxa" w:w="3120"/>
          </w:tcPr>
          <w:p>
            <w:r>
              <w:t>Live Graph, CRM, Bloomberg, FSRA feeds</w:t>
            </w:r>
          </w:p>
        </w:tc>
      </w:tr>
      <w:tr>
        <w:tc>
          <w:tcPr>
            <w:tcW w:type="dxa" w:w="3120"/>
          </w:tcPr>
          <w:p>
            <w:r>
              <w:t>Answers</w:t>
            </w:r>
          </w:p>
        </w:tc>
        <w:tc>
          <w:tcPr>
            <w:tcW w:type="dxa" w:w="3120"/>
          </w:tcPr>
          <w:p>
            <w:r>
              <w:t>Claude API when configured; else scripted demo</w:t>
            </w:r>
          </w:p>
        </w:tc>
        <w:tc>
          <w:tcPr>
            <w:tcW w:type="dxa" w:w="3120"/>
          </w:tcPr>
          <w:p>
            <w:r>
              <w:t>Always live with audit logging</w:t>
            </w:r>
          </w:p>
        </w:tc>
      </w:tr>
      <w:tr>
        <w:tc>
          <w:tcPr>
            <w:tcW w:type="dxa" w:w="3120"/>
          </w:tcPr>
          <w:p>
            <w:r>
              <w:t>Arabic</w:t>
            </w:r>
          </w:p>
        </w:tc>
        <w:tc>
          <w:tcPr>
            <w:tcW w:type="dxa" w:w="3120"/>
          </w:tcPr>
          <w:p>
            <w:r>
              <w:t>Supported in prompts and comms briefings</w:t>
            </w:r>
          </w:p>
        </w:tc>
        <w:tc>
          <w:tcPr>
            <w:tcW w:type="dxa" w:w="3120"/>
          </w:tcPr>
          <w:p>
            <w:r>
              <w:t>Full RTL QA (Week 6 gate)</w:t>
            </w:r>
          </w:p>
        </w:tc>
      </w:tr>
      <w:tr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Demo PIN / QR session</w:t>
            </w:r>
          </w:p>
        </w:tc>
        <w:tc>
          <w:tcPr>
            <w:tcW w:type="dxa" w:w="3120"/>
          </w:tcPr>
          <w:p>
            <w:r>
              <w:t>Azure AD SSO, RBAC, UAE North hosting</w:t>
            </w:r>
          </w:p>
        </w:tc>
      </w:tr>
    </w:tbl>
    <w:p/>
    <w:p>
      <w:pPr>
        <w:pStyle w:val="Heading1"/>
      </w:pPr>
      <w: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------</w:t>
            </w:r>
          </w:p>
        </w:tc>
        <w:tc>
          <w:tcPr>
            <w:tcW w:type="dxa" w:w="4680"/>
          </w:tcPr>
          <w:p>
            <w:r>
              <w:t>---------</w:t>
            </w:r>
          </w:p>
        </w:tc>
      </w:tr>
      <w:tr>
        <w:tc>
          <w:tcPr>
            <w:tcW w:type="dxa" w:w="4680"/>
          </w:tcPr>
          <w:p>
            <w:r>
              <w:t>**CoS**</w:t>
            </w:r>
          </w:p>
        </w:tc>
        <w:tc>
          <w:tcPr>
            <w:tcW w:type="dxa" w:w="4680"/>
          </w:tcPr>
          <w:p>
            <w:r>
              <w:t>Chief of Staff AI — orchestrator</w:t>
            </w:r>
          </w:p>
        </w:tc>
      </w:tr>
      <w:tr>
        <w:tc>
          <w:tcPr>
            <w:tcW w:type="dxa" w:w="4680"/>
          </w:tcPr>
          <w:p>
            <w:r>
              <w:t>**D33**</w:t>
            </w:r>
          </w:p>
        </w:tc>
        <w:tc>
          <w:tcPr>
            <w:tcW w:type="dxa" w:w="4680"/>
          </w:tcPr>
          <w:p>
            <w:r>
              <w:t>Abu Dhabi economic vision alignment scorecard</w:t>
            </w:r>
          </w:p>
        </w:tc>
      </w:tr>
      <w:tr>
        <w:tc>
          <w:tcPr>
            <w:tcW w:type="dxa" w:w="4680"/>
          </w:tcPr>
          <w:p>
            <w:r>
              <w:t>**FSRA**</w:t>
            </w:r>
          </w:p>
        </w:tc>
        <w:tc>
          <w:tcPr>
            <w:tcW w:type="dxa" w:w="4680"/>
          </w:tcPr>
          <w:p>
            <w:r>
              <w:t>Financial Services Regulatory Authority (ADGM)</w:t>
            </w:r>
          </w:p>
        </w:tc>
      </w:tr>
      <w:tr>
        <w:tc>
          <w:tcPr>
            <w:tcW w:type="dxa" w:w="4680"/>
          </w:tcPr>
          <w:p>
            <w:r>
              <w:t>**KB**</w:t>
            </w:r>
          </w:p>
        </w:tc>
        <w:tc>
          <w:tcPr>
            <w:tcW w:type="dxa" w:w="4680"/>
          </w:tcPr>
          <w:p>
            <w:r>
              <w:t>Knowledge base (ingested documents + graph)</w:t>
            </w:r>
          </w:p>
        </w:tc>
      </w:tr>
      <w:tr>
        <w:tc>
          <w:tcPr>
            <w:tcW w:type="dxa" w:w="4680"/>
          </w:tcPr>
          <w:p>
            <w:r>
              <w:t>**Smart routing**</w:t>
            </w:r>
          </w:p>
        </w:tc>
        <w:tc>
          <w:tcPr>
            <w:tcW w:type="dxa" w:w="4680"/>
          </w:tcPr>
          <w:p>
            <w:r>
              <w:t>Automatic agent selection from question topic</w:t>
            </w:r>
          </w:p>
        </w:tc>
      </w:tr>
      <w:tr>
        <w:tc>
          <w:tcPr>
            <w:tcW w:type="dxa" w:w="4680"/>
          </w:tcPr>
          <w:p>
            <w:r>
              <w:t>**Unified answer**</w:t>
            </w:r>
          </w:p>
        </w:tc>
        <w:tc>
          <w:tcPr>
            <w:tcW w:type="dxa" w:w="4680"/>
          </w:tcPr>
          <w:p>
            <w:r>
              <w:t>Single markdown reply regardless of how many agents ran</w:t>
            </w:r>
          </w:p>
        </w:tc>
      </w:tr>
    </w:tbl>
    <w:p/>
    <w:p>
      <w:pPr>
        <w:pStyle w:val="Heading1"/>
      </w:pPr>
      <w:r>
        <w:t>10. Document conversion notes</w:t>
      </w:r>
    </w:p>
    <w:p>
      <w:r>
        <w:t>To convert this file for stakeholders:</w:t>
      </w:r>
    </w:p>
    <w:p>
      <w:pPr>
        <w:pStyle w:val="ListBullet"/>
      </w:pPr>
      <w:r>
        <w:t>**Microsoft Word:** Open this `.md` file in Word, or paste into Word and apply Heading 1/2 styles to `##` sections.</w:t>
      </w:r>
    </w:p>
    <w:p>
      <w:pPr>
        <w:pStyle w:val="ListBullet"/>
      </w:pPr>
      <w:r>
        <w:t>**PDF:** Export from Word or use any Markdown-to-PDF tool.</w:t>
      </w:r>
    </w:p>
    <w:p>
      <w:pPr>
        <w:pStyle w:val="ListBullet"/>
      </w:pPr>
      <w:r>
        <w:t>**PowerPoint:** Use Section 3 (one slide per agent), Section 5 (format slides), Section 6 (briefing table slide).</w:t>
      </w:r>
    </w:p>
    <w:p>
      <w:r>
        <w:t>**File location:** `personal-ai-chat/docs/ADGM-Agent-Behaviours-and-Answer-Formats.md`</w:t>
      </w:r>
    </w:p>
    <w:p/>
    <w:p>
      <w:r>
        <w:rPr>
          <w:i/>
        </w:rPr>
        <w:t>*Abu Dhabi Global Market — Personal AI Command Centre. Confidential prototype documentation.*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