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300"/>
        <w:jc w:val="center"/>
      </w:pPr>
      <w:r>
        <w:rPr>
          <w:b/>
          <w:bCs/>
          <w:color w:val="1F3864"/>
          <w:sz w:val="44"/>
          <w:szCs w:val="44"/>
        </w:rPr>
        <w:t xml:space="preserve">BUSINESS REQUIREMENTS DOCUMENT</w:t>
      </w:r>
    </w:p>
    <w:p>
      <w:pPr>
        <w:spacing w:after="160"/>
        <w:jc w:val="center"/>
      </w:pPr>
      <w:r>
        <w:rPr>
          <w:b/>
          <w:bCs/>
          <w:sz w:val="36"/>
          <w:szCs w:val="36"/>
        </w:rPr>
        <w:t xml:space="preserve">Communication IQ</w:t>
      </w:r>
    </w:p>
    <w:p>
      <w:pPr>
        <w:spacing w:after="100"/>
        <w:jc w:val="center"/>
      </w:pPr>
      <w:r>
        <w:rPr>
          <w:i/>
          <w:iCs/>
          <w:sz w:val="26"/>
          <w:szCs w:val="26"/>
        </w:rPr>
        <w:t xml:space="preserve">AI-Powered Spoken-Assessment Simulation &amp; Training — Multi-Tenant SaaS Platform</w:t>
      </w:r>
    </w:p>
    <w:p>
      <w:pPr>
        <w:spacing w:after="1200"/>
        <w:jc w:val="center"/>
      </w:pPr>
      <w:r>
        <w:rPr>
          <w:color w:val="555555"/>
          <w:sz w:val="22"/>
          <w:szCs w:val="22"/>
        </w:rPr>
        <w:t xml:space="preserve">In-House Assessment Engine · Configurable / Pluggable Provider Architecture · Platform + Tenant Administration</w:t>
      </w:r>
    </w:p>
    <w:p>
      <w:pPr>
        <w:spacing w:after="60"/>
        <w:jc w:val="center"/>
      </w:pPr>
      <w:r>
        <w:rPr>
          <w:sz w:val="22"/>
          <w:szCs w:val="22"/>
        </w:rPr>
        <w:t xml:space="preserve">Prepared for: SaashX AI Labs</w:t>
      </w:r>
    </w:p>
    <w:p>
      <w:pPr>
        <w:spacing w:after="60"/>
        <w:jc w:val="center"/>
      </w:pPr>
      <w:r>
        <w:rPr>
          <w:sz w:val="22"/>
          <w:szCs w:val="22"/>
        </w:rPr>
        <w:t xml:space="preserve">Version 0.1 — Draft for Stakeholder Review</w:t>
      </w:r>
    </w:p>
    <w:p>
      <w:pPr>
        <w:spacing w:after="60"/>
        <w:jc w:val="center"/>
      </w:pPr>
      <w:r>
        <w:rPr>
          <w:sz w:val="22"/>
          <w:szCs w:val="22"/>
        </w:rPr>
        <w:t xml:space="preserve">13 August 2026</w:t>
      </w:r>
    </w:p>
    <w:p>
      <w:pPr>
        <w:jc w:val="center"/>
      </w:pPr>
      <w:r>
        <w:rPr>
          <w:i/>
          <w:iCs/>
          <w:color w:val="777777"/>
          <w:sz w:val="20"/>
          <w:szCs w:val="20"/>
        </w:rPr>
        <w:t xml:space="preserve">Classification: Internal / Confidential</w:t>
      </w:r>
    </w:p>
    <w:p>
      <w:pPr>
        <w:pageBreakBefore/>
      </w:pPr>
      <w:r>
        <w:br/>
      </w:r>
    </w:p>
    <w:p>
      <w:pPr>
        <w:pStyle w:val="Heading1"/>
        <w:spacing w:after="160" w:before="360"/>
      </w:pPr>
      <w:r>
        <w:t xml:space="preserve">Document Control</w:t>
      </w:r>
    </w:p>
    <w:p>
      <w:pPr>
        <w:pStyle w:val="Heading2"/>
        <w:spacing w:after="120" w:before="280"/>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Field</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Value</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Document Title</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Business Requirements Document — Communication IQ SaaS Platform</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Version</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0.1 (Draft)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Date</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13 August 2026</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Status</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Draft — pending stakeholder review</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Prepared By</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Product/Strategy function, drafted with AI-assisted research</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Classification</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Internal / Confidential</w:t>
            </w:r>
          </w:p>
        </w:tc>
      </w:tr>
    </w:tbl>
    <w:p>
      <w:pPr>
        <w:spacing w:after="200"/>
      </w:pPr>
    </w:p>
    <w:p>
      <w:pPr>
        <w:pStyle w:val="Heading2"/>
        <w:spacing w:after="120" w:before="280"/>
      </w:pPr>
      <w: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Role</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Sign-off Status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Founder / CEO</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Pending</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Head of Engineering</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Pending</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Head of Assessment / ML</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Pending</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Compliance / Legal</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Pending</w:t>
            </w:r>
          </w:p>
        </w:tc>
      </w:tr>
    </w:tbl>
    <w:p>
      <w:pPr>
        <w:pageBreakBefore/>
      </w:pPr>
      <w:r>
        <w:br/>
      </w:r>
    </w:p>
    <w:p>
      <w:pPr>
        <w:pStyle w:val="Heading1"/>
        <w:spacing w:after="160" w:before="360"/>
      </w:pPr>
      <w:r>
        <w:t xml:space="preserve">Contents</w:t>
      </w:r>
    </w:p>
    <w:p>
      <w:pPr>
        <w:spacing w:after="160" w:line="276"/>
        <w:jc w:val="left"/>
      </w:pPr>
      <w:r>
        <w:rPr>
          <w:b w:val="false"/>
          <w:bCs w:val="false"/>
          <w:i w:val="false"/>
          <w:iCs w:val="false"/>
        </w:rPr>
        <w:t xml:space="preserve">1. Introduction</w:t>
      </w:r>
    </w:p>
    <w:p>
      <w:pPr>
        <w:spacing w:after="160" w:line="276"/>
        <w:jc w:val="left"/>
      </w:pPr>
      <w:r>
        <w:rPr>
          <w:b w:val="false"/>
          <w:bCs w:val="false"/>
          <w:i w:val="false"/>
          <w:iCs w:val="false"/>
        </w:rPr>
        <w:t xml:space="preserve">2. Business Context &amp; Objectives</w:t>
      </w:r>
    </w:p>
    <w:p>
      <w:pPr>
        <w:spacing w:after="160" w:line="276"/>
        <w:jc w:val="left"/>
      </w:pPr>
      <w:r>
        <w:rPr>
          <w:b w:val="false"/>
          <w:bCs w:val="false"/>
          <w:i w:val="false"/>
          <w:iCs w:val="false"/>
        </w:rPr>
        <w:t xml:space="preserve">3. Scope</w:t>
      </w:r>
    </w:p>
    <w:p>
      <w:pPr>
        <w:spacing w:after="160" w:line="276"/>
        <w:jc w:val="left"/>
      </w:pPr>
      <w:r>
        <w:rPr>
          <w:b w:val="false"/>
          <w:bCs w:val="false"/>
          <w:i w:val="false"/>
          <w:iCs w:val="false"/>
        </w:rPr>
        <w:t xml:space="preserve">4. Definitions &amp; Glossary</w:t>
      </w:r>
    </w:p>
    <w:p>
      <w:pPr>
        <w:spacing w:after="160" w:line="276"/>
        <w:jc w:val="left"/>
      </w:pPr>
      <w:r>
        <w:rPr>
          <w:b w:val="false"/>
          <w:bCs w:val="false"/>
          <w:i w:val="false"/>
          <w:iCs w:val="false"/>
        </w:rPr>
        <w:t xml:space="preserve">5. Stakeholders &amp; Personas</w:t>
      </w:r>
    </w:p>
    <w:p>
      <w:pPr>
        <w:spacing w:after="160" w:line="276"/>
        <w:jc w:val="left"/>
      </w:pPr>
      <w:r>
        <w:rPr>
          <w:b w:val="false"/>
          <w:bCs w:val="false"/>
          <w:i w:val="false"/>
          <w:iCs w:val="false"/>
        </w:rPr>
        <w:t xml:space="preserve">6. User Roles &amp; Permissions</w:t>
      </w:r>
    </w:p>
    <w:p>
      <w:pPr>
        <w:spacing w:after="160" w:line="276"/>
        <w:jc w:val="left"/>
      </w:pPr>
      <w:r>
        <w:rPr>
          <w:b w:val="false"/>
          <w:bCs w:val="false"/>
          <w:i w:val="false"/>
          <w:iCs w:val="false"/>
        </w:rPr>
        <w:t xml:space="preserve">7. High-Level Solution Overview</w:t>
      </w:r>
    </w:p>
    <w:p>
      <w:pPr>
        <w:spacing w:after="160" w:line="276"/>
        <w:jc w:val="left"/>
      </w:pPr>
      <w:r>
        <w:rPr>
          <w:b w:val="false"/>
          <w:bCs w:val="false"/>
          <w:i w:val="false"/>
          <w:iCs w:val="false"/>
        </w:rPr>
        <w:t xml:space="preserve">8. Functional Requirements</w:t>
      </w:r>
    </w:p>
    <w:p>
      <w:pPr>
        <w:spacing w:after="160" w:line="276"/>
        <w:jc w:val="left"/>
      </w:pPr>
      <w:r>
        <w:rPr>
          <w:b w:val="false"/>
          <w:bCs w:val="false"/>
          <w:i w:val="false"/>
          <w:iCs w:val="false"/>
        </w:rPr>
        <w:t xml:space="preserve">   8.1 Platform Admin Module</w:t>
      </w:r>
    </w:p>
    <w:p>
      <w:pPr>
        <w:spacing w:after="160" w:line="276"/>
        <w:jc w:val="left"/>
      </w:pPr>
      <w:r>
        <w:rPr>
          <w:b w:val="false"/>
          <w:bCs w:val="false"/>
          <w:i w:val="false"/>
          <w:iCs w:val="false"/>
        </w:rPr>
        <w:t xml:space="preserve">   8.2 Tenant Admin Module</w:t>
      </w:r>
    </w:p>
    <w:p>
      <w:pPr>
        <w:spacing w:after="160" w:line="276"/>
        <w:jc w:val="left"/>
      </w:pPr>
      <w:r>
        <w:rPr>
          <w:b w:val="false"/>
          <w:bCs w:val="false"/>
          <w:i w:val="false"/>
          <w:iCs w:val="false"/>
        </w:rPr>
        <w:t xml:space="preserve">   8.3 Trainer / Staff Module</w:t>
      </w:r>
    </w:p>
    <w:p>
      <w:pPr>
        <w:spacing w:after="160" w:line="276"/>
        <w:jc w:val="left"/>
      </w:pPr>
      <w:r>
        <w:rPr>
          <w:b w:val="false"/>
          <w:bCs w:val="false"/>
          <w:i w:val="false"/>
          <w:iCs w:val="false"/>
        </w:rPr>
        <w:t xml:space="preserve">   8.4 Student Module</w:t>
      </w:r>
    </w:p>
    <w:p>
      <w:pPr>
        <w:spacing w:after="160" w:line="276"/>
        <w:jc w:val="left"/>
      </w:pPr>
      <w:r>
        <w:rPr>
          <w:b w:val="false"/>
          <w:bCs w:val="false"/>
          <w:i w:val="false"/>
          <w:iCs w:val="false"/>
        </w:rPr>
        <w:t xml:space="preserve">   8.5 Core Assessment Engine (Own-Build) &amp; Provider Abstraction</w:t>
      </w:r>
    </w:p>
    <w:p>
      <w:pPr>
        <w:spacing w:after="160" w:line="276"/>
        <w:jc w:val="left"/>
      </w:pPr>
      <w:r>
        <w:rPr>
          <w:b w:val="false"/>
          <w:bCs w:val="false"/>
          <w:i w:val="false"/>
          <w:iCs w:val="false"/>
        </w:rPr>
        <w:t xml:space="preserve">   8.6 Simulation Profile &amp; Content Management</w:t>
      </w:r>
    </w:p>
    <w:p>
      <w:pPr>
        <w:spacing w:after="160" w:line="276"/>
        <w:jc w:val="left"/>
      </w:pPr>
      <w:r>
        <w:rPr>
          <w:b w:val="false"/>
          <w:bCs w:val="false"/>
          <w:i w:val="false"/>
          <w:iCs w:val="false"/>
        </w:rPr>
        <w:t xml:space="preserve">   8.7 Notifications &amp; Communication</w:t>
      </w:r>
    </w:p>
    <w:p>
      <w:pPr>
        <w:spacing w:after="160" w:line="276"/>
        <w:jc w:val="left"/>
      </w:pPr>
      <w:r>
        <w:rPr>
          <w:b w:val="false"/>
          <w:bCs w:val="false"/>
          <w:i w:val="false"/>
          <w:iCs w:val="false"/>
        </w:rPr>
        <w:t xml:space="preserve">   8.8 Payments &amp; Billing</w:t>
      </w:r>
    </w:p>
    <w:p>
      <w:pPr>
        <w:spacing w:after="160" w:line="276"/>
        <w:jc w:val="left"/>
      </w:pPr>
      <w:r>
        <w:rPr>
          <w:b w:val="false"/>
          <w:bCs w:val="false"/>
          <w:i w:val="false"/>
          <w:iCs w:val="false"/>
        </w:rPr>
        <w:t xml:space="preserve">   8.9 Reporting &amp; Analytics</w:t>
      </w:r>
    </w:p>
    <w:p>
      <w:pPr>
        <w:spacing w:after="160" w:line="276"/>
        <w:jc w:val="left"/>
      </w:pPr>
      <w:r>
        <w:rPr>
          <w:b w:val="false"/>
          <w:bCs w:val="false"/>
          <w:i w:val="false"/>
          <w:iCs w:val="false"/>
        </w:rPr>
        <w:t xml:space="preserve">   8.10 Integrations</w:t>
      </w:r>
    </w:p>
    <w:p>
      <w:pPr>
        <w:spacing w:after="160" w:line="276"/>
        <w:jc w:val="left"/>
      </w:pPr>
      <w:r>
        <w:rPr>
          <w:b w:val="false"/>
          <w:bCs w:val="false"/>
          <w:i w:val="false"/>
          <w:iCs w:val="false"/>
        </w:rPr>
        <w:t xml:space="preserve">9. Non-Functional Requirements</w:t>
      </w:r>
    </w:p>
    <w:p>
      <w:pPr>
        <w:spacing w:after="160" w:line="276"/>
        <w:jc w:val="left"/>
      </w:pPr>
      <w:r>
        <w:rPr>
          <w:b w:val="false"/>
          <w:bCs w:val="false"/>
          <w:i w:val="false"/>
          <w:iCs w:val="false"/>
        </w:rPr>
        <w:t xml:space="preserve">10. Data Requirements</w:t>
      </w:r>
    </w:p>
    <w:p>
      <w:pPr>
        <w:spacing w:after="160" w:line="276"/>
        <w:jc w:val="left"/>
      </w:pPr>
      <w:r>
        <w:rPr>
          <w:b w:val="false"/>
          <w:bCs w:val="false"/>
          <w:i w:val="false"/>
          <w:iCs w:val="false"/>
        </w:rPr>
        <w:t xml:space="preserve">11. Assumptions &amp; Constraints</w:t>
      </w:r>
    </w:p>
    <w:p>
      <w:pPr>
        <w:spacing w:after="160" w:line="276"/>
        <w:jc w:val="left"/>
      </w:pPr>
      <w:r>
        <w:rPr>
          <w:b w:val="false"/>
          <w:bCs w:val="false"/>
          <w:i w:val="false"/>
          <w:iCs w:val="false"/>
        </w:rPr>
        <w:t xml:space="preserve">12. Risks &amp; Dependencies</w:t>
      </w:r>
    </w:p>
    <w:p>
      <w:pPr>
        <w:spacing w:after="160" w:line="276"/>
        <w:jc w:val="left"/>
      </w:pPr>
      <w:r>
        <w:rPr>
          <w:b w:val="false"/>
          <w:bCs w:val="false"/>
          <w:i w:val="false"/>
          <w:iCs w:val="false"/>
        </w:rPr>
        <w:t xml:space="preserve">13. Success Metrics / KPIs</w:t>
      </w:r>
    </w:p>
    <w:p>
      <w:pPr>
        <w:spacing w:after="160" w:line="276"/>
        <w:jc w:val="left"/>
      </w:pPr>
      <w:r>
        <w:rPr>
          <w:b w:val="false"/>
          <w:bCs w:val="false"/>
          <w:i w:val="false"/>
          <w:iCs w:val="false"/>
        </w:rPr>
        <w:t xml:space="preserve">14. Release Phasing</w:t>
      </w:r>
    </w:p>
    <w:p>
      <w:pPr>
        <w:spacing w:after="160" w:line="276"/>
        <w:jc w:val="left"/>
      </w:pPr>
      <w:r>
        <w:rPr>
          <w:b w:val="false"/>
          <w:bCs w:val="false"/>
          <w:i w:val="false"/>
          <w:iCs w:val="false"/>
        </w:rPr>
        <w:t xml:space="preserve">15. Acceptance Criteria</w:t>
      </w:r>
    </w:p>
    <w:p>
      <w:pPr>
        <w:spacing w:after="160" w:line="276"/>
        <w:jc w:val="left"/>
      </w:pPr>
      <w:r>
        <w:rPr>
          <w:b w:val="false"/>
          <w:bCs w:val="false"/>
          <w:i w:val="false"/>
          <w:iCs w:val="false"/>
        </w:rPr>
        <w:t xml:space="preserve">16. Appendix</w:t>
      </w:r>
    </w:p>
    <w:p>
      <w:pPr>
        <w:pageBreakBefore/>
      </w:pPr>
      <w:r>
        <w:br/>
      </w:r>
    </w:p>
    <w:p>
      <w:pPr>
        <w:pStyle w:val="Heading1"/>
        <w:spacing w:after="160" w:before="360"/>
      </w:pPr>
      <w:r>
        <w:t xml:space="preserve">1. Introduction</w:t>
      </w:r>
    </w:p>
    <w:p>
      <w:pPr>
        <w:pStyle w:val="Heading2"/>
        <w:spacing w:after="120" w:before="280"/>
      </w:pPr>
      <w:r>
        <w:t xml:space="preserve">1.1 Purpose</w:t>
      </w:r>
    </w:p>
    <w:p>
      <w:pPr>
        <w:spacing w:after="160" w:line="276"/>
        <w:jc w:val="left"/>
      </w:pPr>
      <w:r>
        <w:rPr>
          <w:b w:val="false"/>
          <w:bCs w:val="false"/>
          <w:i w:val="false"/>
          <w:iCs w:val="false"/>
        </w:rPr>
        <w:t xml:space="preserve">This document defines the complete business requirements for Communication IQ, a multi-tenant SaaS platform that simulates AI-driven spoken-English placement assessments (Versant-style, SVAR-style, SpeechX-style, and company-specific voice rounds), diagnoses the specific communication gaps behind a low score, and delivers targeted, measurable practice to close them.</w:t>
      </w:r>
    </w:p>
    <w:p>
      <w:pPr>
        <w:spacing w:after="160" w:line="276"/>
        <w:jc w:val="left"/>
      </w:pPr>
      <w:r>
        <w:rPr>
          <w:b w:val="false"/>
          <w:bCs w:val="false"/>
          <w:i w:val="false"/>
          <w:iCs w:val="false"/>
        </w:rPr>
        <w:t xml:space="preserve">This BRD reflects a deliberate architecture decision confirmed by the business owner: the core assessment engine — speech-to-signal processing, scoring, and psychometrics — is to be built in-house from day one, rather than assembled primarily from third-party AI APIs. Every AI capability, payment gateway, and communication channel is nonetheless specified as a swappable, configuration-driven provider, so that a third-party engine can be plugged in temporarily, permanently, or per-tenant at any point without a code rewrite. That principle — "own-build now, pluggable always" — runs through every section below and is called out explicitly wherever it applies.</w:t>
      </w:r>
    </w:p>
    <w:p>
      <w:pPr>
        <w:pStyle w:val="Heading2"/>
        <w:spacing w:after="120" w:before="280"/>
      </w:pPr>
      <w:r>
        <w:t xml:space="preserve">1.2 Product Summary</w:t>
      </w:r>
    </w:p>
    <w:p>
      <w:pPr>
        <w:spacing w:after="160" w:line="276"/>
        <w:jc w:val="left"/>
      </w:pPr>
      <w:r>
        <w:rPr>
          <w:b w:val="false"/>
          <w:bCs w:val="false"/>
          <w:i w:val="false"/>
          <w:iCs w:val="false"/>
        </w:rPr>
        <w:t xml:space="preserve">Final-year engineering students in tier-2/3 Indian colleges face AI-driven spoken-English assessments (Pearson Versant, SHL SVAR, Mercer | Mettl SpeechX, and company-specific voice rounds) as a placement gate, typically with zero prior exposure to the format. Communication IQ simulates these gates with full timing and pressure fidelity, scores the response across acoustic, linguistic, pronunciation, and behavioral dimensions, converts the result into a named, closeable skill gap rather than a pass/fail verdict, and drives a targeted drill-and-resimulate training loop until the gap closes.</w:t>
      </w:r>
    </w:p>
    <w:p>
      <w:pPr>
        <w:pStyle w:val="Heading2"/>
        <w:spacing w:after="120" w:before="280"/>
      </w:pPr>
      <w:r>
        <w:t xml:space="preserve">1.3 Intended Audience</w:t>
      </w:r>
    </w:p>
    <w:p>
      <w:pPr>
        <w:spacing w:after="160" w:line="276"/>
        <w:jc w:val="left"/>
      </w:pPr>
      <w:r>
        <w:rPr>
          <w:b w:val="false"/>
          <w:bCs w:val="false"/>
          <w:i w:val="false"/>
          <w:iCs w:val="false"/>
        </w:rPr>
        <w:t xml:space="preserve">Founders, product management, engineering leadership, the assessment/ML team, compliance and legal reviewers, and any future technical due-diligence reviewer.</w:t>
      </w:r>
    </w:p>
    <w:p>
      <w:pPr>
        <w:pStyle w:val="Heading2"/>
        <w:spacing w:after="120" w:before="280"/>
      </w:pPr>
      <w:r>
        <w:t xml:space="preserve">1.4 Source Material Referenced</w:t>
      </w:r>
    </w:p>
    <w:p>
      <w:pPr>
        <w:pStyle w:val="ListParagraph"/>
        <w:numPr>
          <w:ilvl w:val="0"/>
          <w:numId w:val="2"/>
        </w:numPr>
        <w:spacing w:after="80" w:line="276"/>
      </w:pPr>
      <w:r>
        <w:t xml:space="preserve">CommunicationIQ-Student-Impact.pptx — Student Impact Brief, August 2026 (Pyramid Innovations)</w:t>
      </w:r>
    </w:p>
    <w:p>
      <w:pPr>
        <w:pStyle w:val="ListParagraph"/>
        <w:numPr>
          <w:ilvl w:val="0"/>
          <w:numId w:val="2"/>
        </w:numPr>
        <w:spacing w:after="80" w:line="276"/>
      </w:pPr>
      <w:r>
        <w:t xml:space="preserve">knowledge.md — model inventory (Layers 1–4) and competitor test-format breakdown</w:t>
      </w:r>
    </w:p>
    <w:p>
      <w:pPr>
        <w:pStyle w:val="ListParagraph"/>
        <w:numPr>
          <w:ilvl w:val="0"/>
          <w:numId w:val="2"/>
        </w:numPr>
        <w:spacing w:after="80" w:line="276"/>
      </w:pPr>
      <w:r>
        <w:t xml:space="preserve">Technical stack and regulatory research conducted in support of this BRD — see Section 16.2 References</w:t>
      </w:r>
    </w:p>
    <w:p>
      <w:pPr>
        <w:pageBreakBefore/>
      </w:pPr>
      <w:r>
        <w:br/>
      </w:r>
    </w:p>
    <w:p>
      <w:pPr>
        <w:pStyle w:val="Heading1"/>
        <w:spacing w:after="160" w:before="360"/>
      </w:pPr>
      <w:r>
        <w:t xml:space="preserve">2. Business Context &amp; Objectives</w:t>
      </w:r>
    </w:p>
    <w:p>
      <w:pPr>
        <w:pStyle w:val="Heading2"/>
        <w:spacing w:after="120" w:before="280"/>
      </w:pPr>
      <w:r>
        <w:t xml:space="preserve">2.1 Problem Statement</w:t>
      </w:r>
    </w:p>
    <w:p>
      <w:pPr>
        <w:spacing w:after="160" w:line="276"/>
        <w:jc w:val="left"/>
      </w:pPr>
      <w:r>
        <w:rPr>
          <w:b w:val="false"/>
          <w:bCs w:val="false"/>
          <w:i w:val="false"/>
          <w:iCs w:val="false"/>
        </w:rPr>
        <w:t xml:space="preserve">Students spend three years preparing for aptitude tests and coding rounds and receive zero preparation for the AI spoken-English round that gates the same placement drive. The rejection is silent — no breakdown of what failed — so students conclude "my English is bad," a shame verdict rather than a diagnosis, and avoid practice instead of pursuing it. In reality, most affected students are intelligible; they fail on format shock, memory load, response latency, and two or three specific first-language (L1) habits — a narrow, trainable gap being scored as a broad disqualification.</w:t>
      </w:r>
    </w:p>
    <w:p>
      <w:pPr>
        <w:pStyle w:val="Heading2"/>
        <w:spacing w:after="120" w:before="280"/>
      </w:pPr>
      <w:r>
        <w:t xml:space="preserve">2.2 Business Objectives</w:t>
      </w:r>
    </w:p>
    <w:p>
      <w:pPr>
        <w:pStyle w:val="ListParagraph"/>
        <w:numPr>
          <w:ilvl w:val="0"/>
          <w:numId w:val="2"/>
        </w:numPr>
        <w:spacing w:after="80" w:line="276"/>
      </w:pPr>
      <w:r>
        <w:t xml:space="preserve">Give students unlimited, realistic practice for AI spoken-English placement rounds before they face the real, one-shot assessment.</w:t>
      </w:r>
    </w:p>
    <w:p>
      <w:pPr>
        <w:pStyle w:val="ListParagraph"/>
        <w:numPr>
          <w:ilvl w:val="0"/>
          <w:numId w:val="2"/>
        </w:numPr>
        <w:spacing w:after="80" w:line="276"/>
      </w:pPr>
      <w:r>
        <w:t xml:space="preserve">Convert an unscored "my English is bad" verdict into a named, closeable skill gap with a measured, trainable path to improvement.</w:t>
      </w:r>
    </w:p>
    <w:p>
      <w:pPr>
        <w:pStyle w:val="ListParagraph"/>
        <w:numPr>
          <w:ilvl w:val="0"/>
          <w:numId w:val="2"/>
        </w:numPr>
        <w:spacing w:after="80" w:line="276"/>
      </w:pPr>
      <w:r>
        <w:t xml:space="preserve">Build and own a proprietary, Indian-L1-tuned intelligibility and scoring engine that no vendor API currently offers, as the platform's long-term defensibility.</w:t>
      </w:r>
    </w:p>
    <w:p>
      <w:pPr>
        <w:pStyle w:val="ListParagraph"/>
        <w:numPr>
          <w:ilvl w:val="0"/>
          <w:numId w:val="2"/>
        </w:numPr>
        <w:spacing w:after="80" w:line="276"/>
      </w:pPr>
      <w:r>
        <w:t xml:space="preserve">Operate as a multi-tenant B2B2C SaaS platform: sell subscriptions to institutions (colleges, training companies, corporate L&amp;D) who provision access for their own trainers and students.</w:t>
      </w:r>
    </w:p>
    <w:p>
      <w:pPr>
        <w:pStyle w:val="ListParagraph"/>
        <w:numPr>
          <w:ilvl w:val="0"/>
          <w:numId w:val="2"/>
        </w:numPr>
        <w:spacing w:after="80" w:line="276"/>
      </w:pPr>
      <w:r>
        <w:t xml:space="preserve">Give the platform operator centralized control of tenants, pricing, provider configuration, and cross-tenant analytics through a single Platform Admin module.</w:t>
      </w:r>
    </w:p>
    <w:p>
      <w:pPr>
        <w:pStyle w:val="ListParagraph"/>
        <w:numPr>
          <w:ilvl w:val="0"/>
          <w:numId w:val="2"/>
        </w:numPr>
        <w:spacing w:after="80" w:line="276"/>
      </w:pPr>
      <w:r>
        <w:t xml:space="preserve">Architect every AI/ML capability, payment gateway, and notification channel as a swappable provider, so the business is never structurally locked into one in-house model version or one vendor.</w:t>
      </w:r>
    </w:p>
    <w:p>
      <w:pPr>
        <w:pStyle w:val="Heading2"/>
        <w:spacing w:after="120" w:before="280"/>
      </w:pPr>
      <w:r>
        <w:t xml:space="preserve">2.3 Business Model</w:t>
      </w:r>
    </w:p>
    <w:p>
      <w:pPr>
        <w:spacing w:after="160" w:line="276"/>
        <w:jc w:val="left"/>
      </w:pPr>
      <w:r>
        <w:rPr>
          <w:b w:val="false"/>
          <w:bCs w:val="false"/>
          <w:i w:val="false"/>
          <w:iCs w:val="false"/>
        </w:rPr>
        <w:t xml:space="preserve">Primary channel: B2B2C. Institutional tenants (engineering colleges, training companies, corporate L&amp;D teams) purchase a subscription; their trainers and students receive tenant-scoped accounts under that subscription.</w:t>
      </w:r>
    </w:p>
    <w:p>
      <w:pPr>
        <w:spacing w:after="160" w:line="276"/>
        <w:jc w:val="left"/>
      </w:pPr>
      <w:r>
        <w:rPr>
          <w:b w:val="false"/>
          <w:bCs w:val="false"/>
          <w:i w:val="false"/>
          <w:iCs w:val="false"/>
        </w:rPr>
        <w:t xml:space="preserve">Secondary / future channel: a direct-to-student (B2C) subscription or freemium tier — out of MVP scope, tracked under Future Scope in Section 3.3.</w:t>
      </w:r>
    </w:p>
    <w:p>
      <w:pPr>
        <w:spacing w:after="160" w:line="276"/>
        <w:jc w:val="left"/>
      </w:pPr>
      <w:r>
        <w:rPr>
          <w:b w:val="false"/>
          <w:bCs w:val="false"/>
          <w:i w:val="false"/>
          <w:iCs w:val="false"/>
        </w:rPr>
        <w:t xml:space="preserve">Revenue levers: per-seat/per-student pricing, per-institution flat licensing, usage-based overage beyond a plan's included simulation volume, and premium add-ons (e.g., unlimited resimulation, an HR-interview module).</w:t>
      </w:r>
    </w:p>
    <w:p>
      <w:pPr>
        <w:pageBreakBefore/>
      </w:pPr>
      <w:r>
        <w:br/>
      </w:r>
    </w:p>
    <w:p>
      <w:pPr>
        <w:pStyle w:val="Heading1"/>
        <w:spacing w:after="160" w:before="360"/>
      </w:pPr>
      <w:r>
        <w:t xml:space="preserve">3. Scope</w:t>
      </w:r>
    </w:p>
    <w:p>
      <w:pPr>
        <w:pStyle w:val="Heading2"/>
        <w:spacing w:after="120" w:before="280"/>
      </w:pPr>
      <w:r>
        <w:t xml:space="preserve">3.1 In Scope</w:t>
      </w:r>
    </w:p>
    <w:p>
      <w:pPr>
        <w:pStyle w:val="ListParagraph"/>
        <w:numPr>
          <w:ilvl w:val="0"/>
          <w:numId w:val="2"/>
        </w:numPr>
        <w:spacing w:after="80" w:line="276"/>
      </w:pPr>
      <w:r>
        <w:t xml:space="preserve">Platform Admin module: tenant lifecycle, pricing/plan management, billing, provider configuration, cross-tenant analytics.</w:t>
      </w:r>
    </w:p>
    <w:p>
      <w:pPr>
        <w:pStyle w:val="ListParagraph"/>
        <w:numPr>
          <w:ilvl w:val="0"/>
          <w:numId w:val="2"/>
        </w:numPr>
        <w:spacing w:after="80" w:line="276"/>
      </w:pPr>
      <w:r>
        <w:t xml:space="preserve">Tenant Admin module: institution self-service onboarding, user/cohort management, assignment, tenant-level reporting.</w:t>
      </w:r>
    </w:p>
    <w:p>
      <w:pPr>
        <w:pStyle w:val="ListParagraph"/>
        <w:numPr>
          <w:ilvl w:val="0"/>
          <w:numId w:val="2"/>
        </w:numPr>
        <w:spacing w:after="80" w:line="276"/>
      </w:pPr>
      <w:r>
        <w:t xml:space="preserve">Trainer/Staff module: cohort-scoped diagnostic visibility and intervention tools.</w:t>
      </w:r>
    </w:p>
    <w:p>
      <w:pPr>
        <w:pStyle w:val="ListParagraph"/>
        <w:numPr>
          <w:ilvl w:val="0"/>
          <w:numId w:val="2"/>
        </w:numPr>
        <w:spacing w:after="80" w:line="276"/>
      </w:pPr>
      <w:r>
        <w:t xml:space="preserve">Student-facing simulation, diagnosis, and training application.</w:t>
      </w:r>
    </w:p>
    <w:p>
      <w:pPr>
        <w:pStyle w:val="ListParagraph"/>
        <w:numPr>
          <w:ilvl w:val="0"/>
          <w:numId w:val="2"/>
        </w:numPr>
        <w:spacing w:after="80" w:line="276"/>
      </w:pPr>
      <w:r>
        <w:t xml:space="preserve">In-house assessment engine covering knowledge.md Layers 1–4, built behind a provider-abstraction interface.</w:t>
      </w:r>
    </w:p>
    <w:p>
      <w:pPr>
        <w:pStyle w:val="ListParagraph"/>
        <w:numPr>
          <w:ilvl w:val="0"/>
          <w:numId w:val="2"/>
        </w:numPr>
        <w:spacing w:after="80" w:line="276"/>
      </w:pPr>
      <w:r>
        <w:t xml:space="preserve">Configurable provider architecture for AI capabilities, payment gateways, and notification channels.</w:t>
      </w:r>
    </w:p>
    <w:p>
      <w:pPr>
        <w:pStyle w:val="ListParagraph"/>
        <w:numPr>
          <w:ilvl w:val="0"/>
          <w:numId w:val="2"/>
        </w:numPr>
        <w:spacing w:after="80" w:line="276"/>
      </w:pPr>
      <w:r>
        <w:t xml:space="preserve">Billing and subscription management.</w:t>
      </w:r>
    </w:p>
    <w:p>
      <w:pPr>
        <w:pStyle w:val="ListParagraph"/>
        <w:numPr>
          <w:ilvl w:val="0"/>
          <w:numId w:val="2"/>
        </w:numPr>
        <w:spacing w:after="80" w:line="276"/>
      </w:pPr>
      <w:r>
        <w:t xml:space="preserve">Reporting and analytics at platform, tenant, and individual tiers.</w:t>
      </w:r>
    </w:p>
    <w:p>
      <w:pPr>
        <w:pStyle w:val="ListParagraph"/>
        <w:numPr>
          <w:ilvl w:val="0"/>
          <w:numId w:val="2"/>
        </w:numPr>
        <w:spacing w:after="80" w:line="276"/>
      </w:pPr>
      <w:r>
        <w:t xml:space="preserve">Core integrations: SSO, data export, notification channels.</w:t>
      </w:r>
    </w:p>
    <w:p>
      <w:pPr>
        <w:pStyle w:val="ListParagraph"/>
        <w:numPr>
          <w:ilvl w:val="0"/>
          <w:numId w:val="2"/>
        </w:numPr>
        <w:spacing w:after="80" w:line="276"/>
      </w:pPr>
      <w:r>
        <w:t xml:space="preserve">Compliance controls aligned to India's Digital Personal Data Protection (DPDP) Act, 2023.</w:t>
      </w:r>
    </w:p>
    <w:p>
      <w:pPr>
        <w:pStyle w:val="Heading2"/>
        <w:spacing w:after="120" w:before="280"/>
      </w:pPr>
      <w:r>
        <w:t xml:space="preserve">3.2 Out of Scope (Current Phase)</w:t>
      </w:r>
    </w:p>
    <w:p>
      <w:pPr>
        <w:pStyle w:val="ListParagraph"/>
        <w:numPr>
          <w:ilvl w:val="0"/>
          <w:numId w:val="2"/>
        </w:numPr>
        <w:spacing w:after="80" w:line="276"/>
      </w:pPr>
      <w:r>
        <w:t xml:space="preserve">Native mobile apps — mobile-responsive web is in scope; native iOS/Android is future scope.</w:t>
      </w:r>
    </w:p>
    <w:p>
      <w:pPr>
        <w:pStyle w:val="ListParagraph"/>
        <w:numPr>
          <w:ilvl w:val="0"/>
          <w:numId w:val="2"/>
        </w:numPr>
        <w:spacing w:after="80" w:line="276"/>
      </w:pPr>
      <w:r>
        <w:t xml:space="preserve">Direct-to-student B2C marketing site/funnel execution — the platform capability exists, but go-to-market for it is a separate workstream.</w:t>
      </w:r>
    </w:p>
    <w:p>
      <w:pPr>
        <w:pStyle w:val="ListParagraph"/>
        <w:numPr>
          <w:ilvl w:val="0"/>
          <w:numId w:val="2"/>
        </w:numPr>
        <w:spacing w:after="80" w:line="276"/>
      </w:pPr>
      <w:r>
        <w:t xml:space="preserve">Non-English target languages or assessment tracks.</w:t>
      </w:r>
    </w:p>
    <w:p>
      <w:pPr>
        <w:pStyle w:val="ListParagraph"/>
        <w:numPr>
          <w:ilvl w:val="0"/>
          <w:numId w:val="2"/>
        </w:numPr>
        <w:spacing w:after="80" w:line="276"/>
      </w:pPr>
      <w:r>
        <w:t xml:space="preserve">Video-based (as opposed to audio-only) assessment simulation.</w:t>
      </w:r>
    </w:p>
    <w:p>
      <w:pPr>
        <w:pStyle w:val="ListParagraph"/>
        <w:numPr>
          <w:ilvl w:val="0"/>
          <w:numId w:val="2"/>
        </w:numPr>
        <w:spacing w:after="80" w:line="276"/>
      </w:pPr>
      <w:r>
        <w:t xml:space="preserve">Replication of any named vendor's actual proprietary test items, prompts, or scoring algorithm — "-style" simulation of format, timing, and pressure only, by explicit legal design.</w:t>
      </w:r>
    </w:p>
    <w:p>
      <w:pPr>
        <w:pStyle w:val="ListParagraph"/>
        <w:numPr>
          <w:ilvl w:val="0"/>
          <w:numId w:val="2"/>
        </w:numPr>
        <w:spacing w:after="80" w:line="276"/>
      </w:pPr>
      <w:r>
        <w:t xml:space="preserve">Building and shipping specific third-party AI provider adapters (Azure, Speechace, ELSA, etc.) — the architecture must support them (Section 7.3), but implementing named third-party adapters is deferred per current direction.</w:t>
      </w:r>
    </w:p>
    <w:p>
      <w:pPr>
        <w:pStyle w:val="Heading2"/>
        <w:spacing w:after="120" w:before="280"/>
      </w:pPr>
      <w:r>
        <w:t xml:space="preserve">3.3 Future Scope</w:t>
      </w:r>
    </w:p>
    <w:p>
      <w:pPr>
        <w:pStyle w:val="ListParagraph"/>
        <w:numPr>
          <w:ilvl w:val="0"/>
          <w:numId w:val="2"/>
        </w:numPr>
        <w:spacing w:after="80" w:line="276"/>
      </w:pPr>
      <w:r>
        <w:t xml:space="preserve">Third-party AI provider adapters, activated through the provider-abstraction layer with no core rework.</w:t>
      </w:r>
    </w:p>
    <w:p>
      <w:pPr>
        <w:pStyle w:val="ListParagraph"/>
        <w:numPr>
          <w:ilvl w:val="0"/>
          <w:numId w:val="2"/>
        </w:numPr>
        <w:spacing w:after="80" w:line="276"/>
      </w:pPr>
      <w:r>
        <w:t xml:space="preserve">Native mobile applications.</w:t>
      </w:r>
    </w:p>
    <w:p>
      <w:pPr>
        <w:pStyle w:val="ListParagraph"/>
        <w:numPr>
          <w:ilvl w:val="0"/>
          <w:numId w:val="2"/>
        </w:numPr>
        <w:spacing w:after="80" w:line="276"/>
      </w:pPr>
      <w:r>
        <w:t xml:space="preserve">HR / behavioral interview simulation module.</w:t>
      </w:r>
    </w:p>
    <w:p>
      <w:pPr>
        <w:pStyle w:val="ListParagraph"/>
        <w:numPr>
          <w:ilvl w:val="0"/>
          <w:numId w:val="2"/>
        </w:numPr>
        <w:spacing w:after="80" w:line="276"/>
      </w:pPr>
      <w:r>
        <w:t xml:space="preserve">Additional Indian-language assessment tracks.</w:t>
      </w:r>
    </w:p>
    <w:p>
      <w:pPr>
        <w:pStyle w:val="ListParagraph"/>
        <w:numPr>
          <w:ilvl w:val="0"/>
          <w:numId w:val="2"/>
        </w:numPr>
        <w:spacing w:after="80" w:line="276"/>
      </w:pPr>
      <w:r>
        <w:t xml:space="preserve">Direct-to-student consumer subscription tier.</w:t>
      </w:r>
    </w:p>
    <w:p>
      <w:pPr>
        <w:pageBreakBefore/>
      </w:pPr>
      <w:r>
        <w:br/>
      </w:r>
    </w:p>
    <w:p>
      <w:pPr>
        <w:pStyle w:val="Heading1"/>
        <w:spacing w:after="160" w:before="360"/>
      </w:pPr>
      <w:r>
        <w:t xml:space="preserve">4. Definitions &amp;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Term</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Definition</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Tenant</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An institution or organization (college, training company, corporate L&amp;D team) with its own isolated space on the platform.</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Platform Admin</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The internal SaashX/Pyramid team and tooling that manages all tenants, pricing, and provider configuration.</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Provider</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 specific implementation (in-house or third-party) of an AI, payment, or notification capability, registered against a common interface.</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Provider Abstraction Layer</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The architectural layer that lets any provider for any capability be swapped via configuration, without changing the modules that consume it.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Capability</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 discrete function the engine must perform (e.g., ASR, pronunciation scoring) that is implemented by one or more interchangeable providers.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Simulation Profile</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 configured, timed sequence of task types replicating the format/pressure of a specific assessment style (e.g., "Versant-style").</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Task Type</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An individual exercise format, e.g., Read Aloud, Repeat Sentence, Sentence Build, Story Retell, Open Response.</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Attempt</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One completed pass through a simulation profile by a student, producing a scored record.</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GOP</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Goodness of Pronunciation — a class of algorithm scoring phoneme-level pronunciation accuracy.</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IRT</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Item Response Theory — psychometric method for calibrating item difficulty and discrimination.</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BKT</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Bayesian Knowledge Tracing — a method for estimating per-skill mastery from a sequence of attempts.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ASR</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Automatic Speech Recognition — converting spoken audio to text.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VAD</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Voice Activity Detection — identifying speech versus silence/noise in an audio stream.</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L1</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 speaker's first/native language, used here to group accent- and habit-specific feedback (e.g., Telugu-L1, Hindi-L1, Tamil-L1).</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DPDP Act</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India's Digital Personal Data Protection Act, 2023, and its associated 2025 rules governing personal data handling.</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MoSCoW</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Prioritization scheme used in this document: Must / Should / Could.</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RBAC</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Role-Based Access Control — restricting system actions by assigned user role.</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Shadow Mode</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Running a new provider silently alongside the live one to compare outputs before promotion.</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Canary Routing</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Routing a small, controlled percentage of live traffic to a new provider to validate it under real conditions.</w:t>
            </w:r>
          </w:p>
        </w:tc>
      </w:tr>
    </w:tbl>
    <w:p>
      <w:pPr>
        <w:pageBreakBefore/>
      </w:pPr>
      <w:r>
        <w:br/>
      </w:r>
    </w:p>
    <w:p>
      <w:pPr>
        <w:pStyle w:val="Heading1"/>
        <w:spacing w:after="160" w:before="360"/>
      </w:pPr>
      <w:r>
        <w:t xml:space="preserve">5. Stakeholders &amp;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Persona</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Primary Goal</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Platform Super Admin (internal)</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Control tenants, pricing, provider configuration, and platform health across the whole business.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Tenant Admin (college placement officer / training-company owner)</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Onboard their institution, manage students/staff, and see cohort-level readiness ahead of placement drives.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Trainer / CRT Staff</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Monitor and intervene on the specific students in their assigned cohort.</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Student</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Practice realistically, understand exactly what is failing, and close the gap before the real assessment.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Support / Success Agent (internal)</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Resolve tenant-raised issues within SLA.</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Assessment / Content Team (internal)</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Maintain the item bank, simulation profiles, and the human-rating labelling program.</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Data / ML Team (internal)</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Build, evaluate, and safely roll out engine providers/model versions.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Finance / Billing Admin (internal)</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Manage plans, invoicing, and revenue reporting.</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Compliance Officer / DPO (internal)</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Ensure DPDP Act alignment across consent, retention, and data-access practices.</w:t>
            </w:r>
          </w:p>
        </w:tc>
      </w:tr>
    </w:tbl>
    <w:p>
      <w:pPr>
        <w:pageBreakBefore/>
      </w:pPr>
      <w:r>
        <w:br/>
      </w:r>
    </w:p>
    <w:p>
      <w:pPr>
        <w:pStyle w:val="Heading1"/>
        <w:spacing w:after="160" w:before="360"/>
      </w:pPr>
      <w:r>
        <w:t xml:space="preserve">6. User Roles &amp; Permissions</w:t>
      </w:r>
    </w:p>
    <w:p>
      <w:pPr>
        <w:spacing w:after="160" w:line="276"/>
        <w:jc w:val="left"/>
      </w:pPr>
      <w:r>
        <w:rPr>
          <w:b w:val="false"/>
          <w:bCs w:val="false"/>
          <w:i w:val="false"/>
          <w:iCs w:val="false"/>
        </w:rPr>
        <w:t xml:space="preserve">The matrix below summarizes access at a capability-group level. Full field-level permissions are defined in the engineering design derived from this BRD; this table is the business-level contract that design must satisfy.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5"/>
        <w:gridCol w:w="1305"/>
        <w:gridCol w:w="1305"/>
        <w:gridCol w:w="1305"/>
        <w:gridCol w:w="1206"/>
      </w:tblGrid>
      <w:tr>
        <w:trPr>
          <w:tblHeader/>
        </w:trPr>
        <w:tc>
          <w:tcPr>
            <w:tcW w:type="dxa" w:w="2600"/>
            <w:shd w:fill="D9D9D9" w:val="clear"/>
            <w:tcMar>
              <w:top w:type="dxa" w:w="80"/>
              <w:left w:type="dxa" w:w="100"/>
              <w:bottom w:type="dxa" w:w="80"/>
              <w:right w:type="dxa" w:w="100"/>
            </w:tcMar>
            <w:vAlign w:val="center"/>
          </w:tcPr>
          <w:p>
            <w:pPr>
              <w:spacing w:after="0"/>
            </w:pPr>
            <w:r>
              <w:rPr>
                <w:b/>
                <w:bCs/>
                <w:sz w:val="20"/>
                <w:szCs w:val="20"/>
              </w:rPr>
              <w:t xml:space="preserve">Capability</w:t>
            </w:r>
          </w:p>
        </w:tc>
        <w:tc>
          <w:tcPr>
            <w:tcW w:type="dxa" w:w="1305"/>
            <w:shd w:fill="D9D9D9" w:val="clear"/>
            <w:tcMar>
              <w:top w:type="dxa" w:w="80"/>
              <w:left w:type="dxa" w:w="100"/>
              <w:bottom w:type="dxa" w:w="80"/>
              <w:right w:type="dxa" w:w="100"/>
            </w:tcMar>
            <w:vAlign w:val="center"/>
          </w:tcPr>
          <w:p>
            <w:pPr>
              <w:spacing w:after="0"/>
            </w:pPr>
            <w:r>
              <w:rPr>
                <w:b/>
                <w:bCs/>
                <w:sz w:val="20"/>
                <w:szCs w:val="20"/>
              </w:rPr>
              <w:t xml:space="preserve">Platform
Admin</w:t>
            </w:r>
          </w:p>
        </w:tc>
        <w:tc>
          <w:tcPr>
            <w:tcW w:type="dxa" w:w="1305"/>
            <w:shd w:fill="D9D9D9" w:val="clear"/>
            <w:tcMar>
              <w:top w:type="dxa" w:w="80"/>
              <w:left w:type="dxa" w:w="100"/>
              <w:bottom w:type="dxa" w:w="80"/>
              <w:right w:type="dxa" w:w="100"/>
            </w:tcMar>
            <w:vAlign w:val="center"/>
          </w:tcPr>
          <w:p>
            <w:pPr>
              <w:spacing w:after="0"/>
            </w:pPr>
            <w:r>
              <w:rPr>
                <w:b/>
                <w:bCs/>
                <w:sz w:val="20"/>
                <w:szCs w:val="20"/>
              </w:rPr>
              <w:t xml:space="preserve">Tenant
Admin</w:t>
            </w:r>
          </w:p>
        </w:tc>
        <w:tc>
          <w:tcPr>
            <w:tcW w:type="dxa" w:w="1305"/>
            <w:shd w:fill="D9D9D9" w:val="clear"/>
            <w:tcMar>
              <w:top w:type="dxa" w:w="80"/>
              <w:left w:type="dxa" w:w="100"/>
              <w:bottom w:type="dxa" w:w="80"/>
              <w:right w:type="dxa" w:w="100"/>
            </w:tcMar>
            <w:vAlign w:val="center"/>
          </w:tcPr>
          <w:p>
            <w:pPr>
              <w:spacing w:after="0"/>
            </w:pPr>
            <w:r>
              <w:rPr>
                <w:b/>
                <w:bCs/>
                <w:sz w:val="20"/>
                <w:szCs w:val="20"/>
              </w:rPr>
              <w:t xml:space="preserve">Trainer</w:t>
            </w:r>
          </w:p>
        </w:tc>
        <w:tc>
          <w:tcPr>
            <w:tcW w:type="dxa" w:w="1305"/>
            <w:shd w:fill="D9D9D9" w:val="clear"/>
            <w:tcMar>
              <w:top w:type="dxa" w:w="80"/>
              <w:left w:type="dxa" w:w="100"/>
              <w:bottom w:type="dxa" w:w="80"/>
              <w:right w:type="dxa" w:w="100"/>
            </w:tcMar>
            <w:vAlign w:val="center"/>
          </w:tcPr>
          <w:p>
            <w:pPr>
              <w:spacing w:after="0"/>
            </w:pPr>
            <w:r>
              <w:rPr>
                <w:b/>
                <w:bCs/>
                <w:sz w:val="20"/>
                <w:szCs w:val="20"/>
              </w:rPr>
              <w:t xml:space="preserve">Student</w:t>
            </w:r>
          </w:p>
        </w:tc>
        <w:tc>
          <w:tcPr>
            <w:tcW w:type="dxa" w:w="1206"/>
            <w:shd w:fill="D9D9D9" w:val="clear"/>
            <w:tcMar>
              <w:top w:type="dxa" w:w="80"/>
              <w:left w:type="dxa" w:w="100"/>
              <w:bottom w:type="dxa" w:w="80"/>
              <w:right w:type="dxa" w:w="100"/>
            </w:tcMar>
            <w:vAlign w:val="center"/>
          </w:tcPr>
          <w:p>
            <w:pPr>
              <w:spacing w:after="0"/>
            </w:pPr>
            <w:r>
              <w:rPr>
                <w:b/>
                <w:bCs/>
                <w:sz w:val="20"/>
                <w:szCs w:val="20"/>
              </w:rPr>
              <w:t xml:space="preserve">Support</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Tenant lifecycle management</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shd w:fill="F2F2F2" w:val="clear"/>
            <w:tcMar>
              <w:top w:type="dxa" w:w="80"/>
              <w:left w:type="dxa" w:w="100"/>
              <w:bottom w:type="dxa" w:w="80"/>
              <w:right w:type="dxa" w:w="100"/>
            </w:tcMar>
            <w:vAlign w:val="center"/>
          </w:tcPr>
          <w:p>
            <w:pPr>
              <w:spacing w:after="0"/>
            </w:pPr>
            <w:r>
              <w:rPr>
                <w:b w:val="false"/>
                <w:bCs w:val="false"/>
                <w:sz w:val="20"/>
                <w:szCs w:val="20"/>
              </w:rPr>
              <w:t xml:space="preserve">Pricing &amp; billing configuration</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View only</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AI / payment / notification provider configuration</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shd w:fill="F2F2F2" w:val="clear"/>
            <w:tcMar>
              <w:top w:type="dxa" w:w="80"/>
              <w:left w:type="dxa" w:w="100"/>
              <w:bottom w:type="dxa" w:w="80"/>
              <w:right w:type="dxa" w:w="100"/>
            </w:tcMar>
            <w:vAlign w:val="center"/>
          </w:tcPr>
          <w:p>
            <w:pPr>
              <w:spacing w:after="0"/>
            </w:pPr>
            <w:r>
              <w:rPr>
                <w:b w:val="false"/>
                <w:bCs w:val="false"/>
                <w:sz w:val="20"/>
                <w:szCs w:val="20"/>
              </w:rPr>
              <w:t xml:space="preserve">Global content / item bank management</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User management within own tenant</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 (all)</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shd w:fill="F2F2F2" w:val="clear"/>
            <w:tcMar>
              <w:top w:type="dxa" w:w="80"/>
              <w:left w:type="dxa" w:w="100"/>
              <w:bottom w:type="dxa" w:w="80"/>
              <w:right w:type="dxa" w:w="100"/>
            </w:tcMar>
            <w:vAlign w:val="center"/>
          </w:tcPr>
          <w:p>
            <w:pPr>
              <w:spacing w:after="0"/>
            </w:pPr>
            <w:r>
              <w:rPr>
                <w:b w:val="false"/>
                <w:bCs w:val="false"/>
                <w:sz w:val="20"/>
                <w:szCs w:val="20"/>
              </w:rPr>
              <w:t xml:space="preserve">Cohort management</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 (all)</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View</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Simulation assignment to cohort</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 (all)</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shd w:fill="F2F2F2" w:val="clear"/>
            <w:tcMar>
              <w:top w:type="dxa" w:w="80"/>
              <w:left w:type="dxa" w:w="100"/>
              <w:bottom w:type="dxa" w:w="80"/>
              <w:right w:type="dxa" w:w="100"/>
            </w:tcMar>
            <w:vAlign w:val="center"/>
          </w:tcPr>
          <w:p>
            <w:pPr>
              <w:spacing w:after="0"/>
            </w:pPr>
            <w:r>
              <w:rPr>
                <w:b w:val="false"/>
                <w:bCs w:val="false"/>
                <w:sz w:val="20"/>
                <w:szCs w:val="20"/>
              </w:rPr>
              <w:t xml:space="preserve">Take a simulation / view own results</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View cohort-level reports</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 (all)</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 (own cohort)</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shd w:fill="F2F2F2" w:val="clear"/>
            <w:tcMar>
              <w:top w:type="dxa" w:w="80"/>
              <w:left w:type="dxa" w:w="100"/>
              <w:bottom w:type="dxa" w:w="80"/>
              <w:right w:type="dxa" w:w="100"/>
            </w:tcMar>
            <w:vAlign w:val="center"/>
          </w:tcPr>
          <w:p>
            <w:pPr>
              <w:spacing w:after="0"/>
            </w:pPr>
            <w:r>
              <w:rPr>
                <w:b w:val="false"/>
                <w:bCs w:val="false"/>
                <w:sz w:val="20"/>
                <w:szCs w:val="20"/>
              </w:rPr>
              <w:t xml:space="preserve">Cross-tenant analytics</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tcMar>
              <w:top w:type="dxa" w:w="80"/>
              <w:left w:type="dxa" w:w="100"/>
              <w:bottom w:type="dxa" w:w="80"/>
              <w:right w:type="dxa" w:w="100"/>
            </w:tcMar>
            <w:vAlign w:val="center"/>
          </w:tcPr>
          <w:p>
            <w:pPr>
              <w:spacing w:after="0"/>
            </w:pPr>
            <w:r>
              <w:rPr>
                <w:b w:val="false"/>
                <w:bCs w:val="false"/>
                <w:sz w:val="20"/>
                <w:szCs w:val="20"/>
              </w:rPr>
              <w:t xml:space="preserve">Support ticketing</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Raise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Raise</w:t>
            </w:r>
          </w:p>
        </w:tc>
        <w:tc>
          <w:tcPr>
            <w:tcW w:type="dxa" w:w="1305"/>
            <w:tcMar>
              <w:top w:type="dxa" w:w="80"/>
              <w:left w:type="dxa" w:w="100"/>
              <w:bottom w:type="dxa" w:w="80"/>
              <w:right w:type="dxa" w:w="100"/>
            </w:tcMar>
            <w:vAlign w:val="center"/>
          </w:tcPr>
          <w:p>
            <w:pPr>
              <w:spacing w:after="0"/>
            </w:pPr>
            <w:r>
              <w:rPr>
                <w:b w:val="false"/>
                <w:bCs w:val="false"/>
                <w:sz w:val="20"/>
                <w:szCs w:val="20"/>
              </w:rPr>
              <w:t xml:space="preserve">Raise</w:t>
            </w:r>
          </w:p>
        </w:tc>
        <w:tc>
          <w:tcPr>
            <w:tcW w:type="dxa" w:w="1206"/>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600"/>
            <w:shd w:fill="F2F2F2" w:val="clear"/>
            <w:tcMar>
              <w:top w:type="dxa" w:w="80"/>
              <w:left w:type="dxa" w:w="100"/>
              <w:bottom w:type="dxa" w:w="80"/>
              <w:right w:type="dxa" w:w="100"/>
            </w:tcMar>
            <w:vAlign w:val="center"/>
          </w:tcPr>
          <w:p>
            <w:pPr>
              <w:spacing w:after="0"/>
            </w:pPr>
            <w:r>
              <w:rPr>
                <w:b w:val="false"/>
                <w:bCs w:val="false"/>
                <w:sz w:val="20"/>
                <w:szCs w:val="20"/>
              </w:rPr>
              <w:t xml:space="preserve">Audit log access</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Own tenant only</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305"/>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206"/>
            <w:shd w:fill="F2F2F2" w:val="clear"/>
            <w:tcMar>
              <w:top w:type="dxa" w:w="80"/>
              <w:left w:type="dxa" w:w="100"/>
              <w:bottom w:type="dxa" w:w="80"/>
              <w:right w:type="dxa" w:w="100"/>
            </w:tcMar>
            <w:vAlign w:val="center"/>
          </w:tcPr>
          <w:p>
            <w:pPr>
              <w:spacing w:after="0"/>
            </w:pPr>
            <w:r>
              <w:rPr>
                <w:b w:val="false"/>
                <w:bCs w:val="false"/>
                <w:sz w:val="20"/>
                <w:szCs w:val="20"/>
              </w:rPr>
              <w:t xml:space="preserve">Read-only, own tickets</w:t>
            </w:r>
          </w:p>
        </w:tc>
      </w:tr>
    </w:tbl>
    <w:p>
      <w:pPr>
        <w:pageBreakBefore/>
      </w:pPr>
      <w:r>
        <w:br/>
      </w:r>
    </w:p>
    <w:p>
      <w:pPr>
        <w:pStyle w:val="Heading1"/>
        <w:spacing w:after="160" w:before="360"/>
      </w:pPr>
      <w:r>
        <w:t xml:space="preserve">7. High-Level Solution Overview</w:t>
      </w:r>
    </w:p>
    <w:p>
      <w:pPr>
        <w:pStyle w:val="Heading2"/>
        <w:spacing w:after="120" w:before="280"/>
      </w:pPr>
      <w:r>
        <w:t xml:space="preserve">7.1 Three-Layer Platform Shape</w:t>
      </w:r>
    </w:p>
    <w:p>
      <w:pPr>
        <w:spacing w:after="160" w:line="276"/>
        <w:jc w:val="left"/>
      </w:pPr>
      <w:r>
        <w:rPr>
          <w:b w:val="false"/>
          <w:bCs w:val="false"/>
          <w:i w:val="false"/>
          <w:iCs w:val="false"/>
        </w:rPr>
        <w:t xml:space="preserve">The platform is organized in three layers: a Platform Admin layer (owned by SaashX/Pyramid, controlling every tenant, plan, and provider), a Tenant layer (owned by each institution, scoped to its own staff and students), and a Student Experience layer (the simulation, diagnosis, and training application). Each layer has its own module set defined in Section 8, and no layer can act outside the access boundaries defined in Section 6.</w:t>
      </w:r>
    </w:p>
    <w:p>
      <w:pPr>
        <w:pStyle w:val="Heading2"/>
        <w:spacing w:after="120" w:before="280"/>
      </w:pPr>
      <w:r>
        <w:t xml:space="preserve">7.2 Multi-Tenancy Principle</w:t>
      </w:r>
    </w:p>
    <w:p>
      <w:pPr>
        <w:spacing w:after="160" w:line="276"/>
        <w:jc w:val="left"/>
      </w:pPr>
      <w:r>
        <w:rPr>
          <w:b w:val="false"/>
          <w:bCs w:val="false"/>
          <w:i w:val="false"/>
          <w:iCs w:val="false"/>
        </w:rPr>
        <w:t xml:space="preserve">Every tenant-owned record (users, cohorts, attempts, scores, reports) is scoped by a tenant identifier and logically isolated at the data-access layer, not merely hidden in the UI. Enterprise or high-sensitivity tenants may be offered a dedicated schema or dedicated infrastructure as a plan tier, but the default is a shared, logically-isolated multi-tenant design. Tenants may configure their own branding (logo, color theme) and, on eligible plans, a custom subdomain, so the product reads as belonging to the institution.</w:t>
      </w:r>
    </w:p>
    <w:p>
      <w:pPr>
        <w:pStyle w:val="Heading2"/>
        <w:spacing w:after="120" w:before="280"/>
      </w:pPr>
      <w:r>
        <w:t xml:space="preserve">7.3 Provider Abstraction Principle</w:t>
      </w:r>
    </w:p>
    <w:p>
      <w:pPr>
        <w:spacing w:after="160" w:line="276"/>
        <w:jc w:val="left"/>
      </w:pPr>
      <w:r>
        <w:rPr>
          <w:b w:val="false"/>
          <w:bCs w:val="false"/>
          <w:i w:val="false"/>
          <w:iCs w:val="false"/>
        </w:rPr>
        <w:t xml:space="preserve">Every AI capability, the payment gateway, and every notification channel is implemented behind a versioned Provider Contract. The table below illustrates the pattern: an in-house implementation ships first for every capability, and third-party options remain available to plug in later, per capability, per tenant, without re-architecture.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Abstracted Capability</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Day-1 Provider (in-house) — Future Pluggable Options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Speech-to-text (ASR)</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In-house ASR pipeline — future: any third-party streaming/batch ASR API</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Pronunciation scoring</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In-house GOP-style model — future: third-party pronunciation-scoring APIs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Fluency / prosody scoring</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In-house feature-based regressor — future: third-party fluency APIs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Intelligibility scoring</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In-house model trained on the platform's own labelled data — no external equivalent targeted for India-L1 populations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Grammar / content scoring</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In-house grammar and relevance scoring — future: third-party GEC/LLM-based services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Item calibration / adaptive selection</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In-house IRT/BKT-based engine — third-party swap not applicable (proprietary psychometrics)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Payment gateway</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In-house Razorpay integration — future: PayU, Stripe, or others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Notification channel</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In-house email/SMS integration — future: WhatsApp Business API, push, other providers</w:t>
            </w:r>
          </w:p>
        </w:tc>
      </w:tr>
    </w:tbl>
    <w:p>
      <w:pPr>
        <w:pageBreakBefore/>
      </w:pPr>
      <w:r>
        <w:br/>
      </w:r>
    </w:p>
    <w:p>
      <w:pPr>
        <w:pStyle w:val="Heading1"/>
        <w:spacing w:after="160" w:before="360"/>
      </w:pPr>
      <w:r>
        <w:t xml:space="preserve">8. Functional Requirements</w:t>
      </w:r>
    </w:p>
    <w:p>
      <w:pPr>
        <w:spacing w:after="160" w:line="276"/>
        <w:jc w:val="left"/>
      </w:pPr>
      <w:r>
        <w:rPr>
          <w:b w:val="false"/>
          <w:bCs w:val="false"/>
          <w:i w:val="false"/>
          <w:iCs w:val="false"/>
        </w:rPr>
        <w:t xml:space="preserve">Requirements are prioritized using MoSCoW (Must / Should / Could). "Must" items are required for the Phase 1 release defined in Section 14; "Should" and "Could" items are scoped to later phases unless otherwise noted.</w:t>
      </w:r>
    </w:p>
    <w:p>
      <w:pPr>
        <w:pStyle w:val="Heading2"/>
        <w:spacing w:after="120" w:before="280"/>
      </w:pPr>
      <w:r>
        <w:t xml:space="preserve">8.1 Platform Admin Module</w:t>
      </w:r>
    </w:p>
    <w:p>
      <w:pPr>
        <w:spacing w:after="160" w:line="276"/>
        <w:jc w:val="left"/>
      </w:pPr>
      <w:r>
        <w:rPr>
          <w:b w:val="false"/>
          <w:bCs w:val="false"/>
          <w:i w:val="false"/>
          <w:iCs w:val="false"/>
        </w:rPr>
        <w:t xml:space="preserve">Controls every tenant, plan, price, and provider on the platform. This is the operator's command center.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Super Admin can create, activate, suspend, and permanently offboard tenant accounts, including scheduled data export and deletion on offboarding.</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Super Admin can configure tenant-level settings: plan assignment, feature flags, branding, seat limits, and academic calendar / placement-season dates.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Super Admin can define and version pricing plan templates (per-seat, per-institution flat license, usage-based, freemium/pilot) independent of any specific tenant.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Super Admin can assign a plan to a tenant, override specific terms for negotiated/custom pricing, and schedule plan changes for a future effective date.</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PLAT-05</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must auto-generate GST-compliant invoices each billing cycle and make them available to the Tenant Admin.</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PLAT-06</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must track renewals, send dunning notices for failed/overdue payments, and support a grace period before suspension.</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PLAT-07</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must maintain a central Provider Registry listing every pluggable capability and every registered provider implementation for it.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PLAT-08</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Super Admin can set the active provider (and a fallback) for each capability, globally or per tenant, and switch it via configuration with no code deployment.</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PLAT-09</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must support shadow-mode evaluation — a new provider runs silently alongside the active one for comparison — before promotion to production for any tenant.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PLAT-10</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must support percentage-based canary routing across two or more providers for the same capability.</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PLAT-11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Super Admin (with the Content team) can manage the global simulation content library and publish or restrict specific profiles to specific tenants.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PLAT-12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must provide cross-tenant analytics: adoption, active users, simulation volume, revenue, plan mix, and (consent-permitting) aggregate outcome trends.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PLAT-13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must provide model/provider performance dashboards — accuracy, latency, error rate, cost per call — per provider per capability.</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PLAT-14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must maintain an immutable audit log of all platform-admin actions with actor, timestamp, and before/after values.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PLAT-15</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must provide an internal support/ticketing queue with SLA tracking for tenant-raised issues.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PLAT-16</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Platform-internal staff accounts must be role-scoped (Super Admin, Finance, Content, Data/ML, Support) with MFA required for any account touching tenant data or provider configuration.</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8.2 Tenant Admin Module</w:t>
      </w:r>
    </w:p>
    <w:p>
      <w:pPr>
        <w:spacing w:after="160" w:line="276"/>
        <w:jc w:val="left"/>
      </w:pPr>
      <w:r>
        <w:rPr>
          <w:b w:val="false"/>
          <w:bCs w:val="false"/>
          <w:i w:val="false"/>
          <w:iCs w:val="false"/>
        </w:rPr>
        <w:t xml:space="preserve">The institution's own self-service management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TEN-01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Tenant Admin can complete guided onboarding: institution profile, branches/departments, academic year, and placement-season dates.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TEN-02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Tenant Admin can configure tenant branding (logo, color theme) and, on eligible plans, a custom subdomain.</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TEN-03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Tenant Admin can bulk-import students and staff via CSV/Excel or SSO directory sync, with row-level validation and error reporting.</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TEN-04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Tenant Admin can assign roles within the tenant (Tenant Admin, Trainer, Student) and activate/deactivate accounts.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TEN-05</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Tenant Admin can create cohorts/batches (by branch, year, section) and assign Trainers to specific cohorts.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TEN-06</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Tenant Admin or Trainer can assign simulation profiles/task types to a cohort, set a deadline, and mark them mandatory or optional.</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TEN-07</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Tenant Admin can view a cohort-level readiness dashboard (assessed / placement-ready / needs training / high-risk).</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TEN-08</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Tenant Admin can drill from the cohort dashboard into individual student diagnostic reports, subject to the tenant's own staff-access policy.</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TEN-09</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Tenant Admin can view seat usage against the plan limit and submit an upgrade/downgrade or additional-seat request.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TEN-10</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Tenant Admin can export cohort reports (CSV/PDF) and, on eligible plans, push summary data to the institution's placement portal/LMS.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TEN-11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Tenant Admin or Trainer can broadcast announcements and deadline reminders to a cohort.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TEN-12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All tenant data must be logically isolated from every other tenant; no Tenant Admin or Trainer can view or export another tenant's data under any configuration.</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8.3 Trainer / Staff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TRN-01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Trainer can view diagnostic reports for every student in their assigned cohort(s) only.</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TRN-02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Trainer can assign a targeted drill to an individual student or sub-group, in addition to system auto-recommendations.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TRN-03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Trainer can flag a student as at-risk and attach notes visible to other staff on that cohort.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TRN-04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Trainer can track whether a flagged intervention correlated with a subsequent score change.</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Could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TRN-05</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Trainer access to assessment data is read/assign-only; Trainers cannot alter a student's recorded score or attempt history.</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8.4 Student Module</w:t>
      </w:r>
    </w:p>
    <w:p>
      <w:pPr>
        <w:spacing w:after="160" w:line="276"/>
        <w:jc w:val="left"/>
      </w:pPr>
      <w:r>
        <w:rPr>
          <w:b w:val="false"/>
          <w:bCs w:val="false"/>
          <w:i w:val="false"/>
          <w:iCs w:val="false"/>
        </w:rPr>
        <w:t xml:space="preserve">The core end-user application: simulate, get diagnosed, train, resimulate.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STU-01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Student can register via tenant-issued invite, tenant-permitted self-service sign-up, or SSO.</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STU-02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Before any simulation, student completes a consent screen describing what is recorded (voice audio, response text, timing/behavioral signals), retention period, and purpose — required for DPDP alignment.</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STU-03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Student can take a baseline diagnostic simulation before any targeted training is assigned.</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STU-04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Simulation engine supports configurable task types (Read Aloud, Repeat Sentence, Sentence Build, Short Answer Q&amp;A, Story Retell, Open Response) assembled into vendor-style profiles.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STU-05</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Each simulation enforces the configured timing, one-shot audio (no replay), countdown display, and section pacing exactly as set for that profile.</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STU-06</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Audio capture begins and streams to the backend without requiring a manual save/upload step.</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STU-07</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On completion, student sees a result screen within the defined latency budget (Section 9) showing sub-scores in plain language plus one explicit "biggest lever" recommendation.</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STU-08</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System generates a personalized drill sequence (fail → why → similar-item drill → harder challenge → re-test) targeting the student's weakest sub-skill(s).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STU-09</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Student can re-simulate a profile; attempt allowance per period is governed by the tenant's plan; mastery/progress is tracked across attempts.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STU-10</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Student can view a personal progress dashboard: skill mastery over time, attempt history, and a readiness estimate shown with a confidence range, not false precision.</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STU-11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Student receives configurable reminders/nudges for deadlines and practice streaks via the Notification module.</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STU-12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Student can request export or deletion of personal data and recorded audio, fulfilled within the timeframe required by applicable law.</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STU-13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Student experience degrades gracefully on low-bandwidth connections and budget Android devices.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STU-14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 student's data is never visible to another tenant, and within their own tenant is visible only to roles permitted in Section 6.</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8.5 Core Assessment Engine (Own-Build) &amp; Provider Abstraction</w:t>
      </w:r>
    </w:p>
    <w:p>
      <w:pPr>
        <w:spacing w:after="160" w:line="276"/>
        <w:jc w:val="left"/>
      </w:pPr>
      <w:r>
        <w:rPr>
          <w:b w:val="false"/>
          <w:bCs w:val="false"/>
          <w:i w:val="false"/>
          <w:iCs w:val="false"/>
        </w:rPr>
        <w:t xml:space="preserve">Organized by the four layers from the existing model inventory, plus the cross-cutting provider-abstraction requirement this document adds by design.</w:t>
      </w:r>
    </w:p>
    <w:p>
      <w:pPr>
        <w:pStyle w:val="Heading3"/>
        <w:spacing w:after="100" w:before="200"/>
      </w:pPr>
      <w:r>
        <w:t xml:space="preserve">Layer 1 — Hearing (speech →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transcribes spoken responses to text with word-level timestamps.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Engine detects voice activity to isolate speech from silence/noise, feeding pause-structure and response-latency features.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produces forced alignment (word/phoneme timestamps) accurate enough to support pronunciation and fluency scoring.</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3"/>
        <w:spacing w:after="100" w:before="200"/>
      </w:pPr>
      <w:r>
        <w:t xml:space="preserve">Layer 2 — Judging Speech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ENG-04</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scores pronunciation accuracy at the phoneme level.</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ENG-05</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Engine scores fluency/prosody (pace, pause pattern, rhythm, stress) using an interpretable, feature-based model as the Phase 1 baseline.</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ENG-06</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detects disfluencies (fillers, repetitions, self-corrections) from transcript and acoustic cues.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ENG-07</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Engine produces an intelligibility score, trained on human-rated Indian-L1 speech samples, distinct from a native-accent-similarity score — the platform's primary long-term differentiator.</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 (gated — see ENG-09)</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ENG-08</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classifies a speaker's L1/accent group to route L1-specific feedback and power L1-difficulty statistics.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ENG-09</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operates a structured human-rater labelling program (rater onboarding, inter-rater agreement tracking, an approved-label pipeline feeding model training) to supply the data ENG-07 depends on.</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3"/>
        <w:spacing w:after="100" w:before="200"/>
      </w:pPr>
      <w:r>
        <w:t xml:space="preserve">Layer 3 — Judging Language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ENG-10</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detects and types grammar errors in the transcribed response.</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ENG-11</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Engine scores content relevance/recall against a reference key-point set for retell/comprehension tasks, using a constrained method that is never a sole unconstrained LLM judgment.</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3"/>
        <w:spacing w:after="100" w:before="200"/>
      </w:pPr>
      <w:r>
        <w:t xml:space="preserve">Layer 4 — The Intelligence Layer (calibration, mastery, adaptivity,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ENG-12</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calibrates item difficulty and discrimination (IRT) per item, split by L1 group where sample size allows.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ENG-13</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Engine tracks per-skill mastery per student over time (Bayesian Knowledge Tracing as the baseline method).</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ENG-14</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supports adaptive item selection based on calibrated item information, once sufficient item-response data exists.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ENG-15</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Engine produces a calibrated outcome/readiness prediction (isotonic/Platt-calibrated confidence, not a raw score) only once a defined minimum paired-record gate is met; before that gate, no uncalibrated prediction is presented as a readiness percentage.</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3"/>
        <w:spacing w:after="100" w:before="200"/>
      </w:pPr>
      <w:r>
        <w:t xml:space="preserve">Provider Abstraction (cross-cutting — applies to every capability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ENG-16</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Every capability (ENG-01–ENG-15) is implemented behind a versioned, capability-scoped Provider Contract; consuming modules never depend on a specific model's internals.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ENG-17</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 new provider (an in-house model v2, or a future third-party API) can be added by registering it against the existing contract, with no changes to the modules that consume that capability.</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ENG-18</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Provider selection is a runtime configuration value, settable globally or per tenant, changeable by a Platform Super Admin with no code deployment.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ENG-19</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If a selected provider fails, times out, or is disabled, the engine falls back to a configured secondary provider or a defined degraded behavior, rather than failing the student's simulation outright.</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ENG-20</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Engine supports running two providers for the same capability side-by-side (shadow mode), logging both outputs for comparison before a new provider is promoted.</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ENG-21</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All provider outputs are logged with the provider identity and version that produced them, so any historical score can be traced to the exact model that generated it.</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8.6 Simulation Profile &amp;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CONTENT-01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Authorized content staff can author or import items (prompts, reference audio/text) with metadata: task type, difficulty, discrimination, target L1 group, source.</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CONTENT-02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Authorized content staff can define a new vendor-style simulation profile (task sequence, per-task timing, scoring weights) via configuration, without engineering involvement.</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CONTENT-03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Item bank and simulation profiles are versioned, with rollback to a prior version.</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CONTENT-04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Content-authoring tools must not permit import of verbatim proprietary vendor items or algorithms — "-style" replication only, by design.</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CONTENT-05</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Content staff can preview a profile end-to-end as a student would experience it before publishing.</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CONTENT-06</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Content changes can be staged and published to selected pilot tenants before a global rollout.</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bl>
    <w:p>
      <w:pPr>
        <w:pStyle w:val="Heading2"/>
        <w:spacing w:after="120" w:before="280"/>
      </w:pPr>
      <w:r>
        <w:t xml:space="preserve">8.7 Notifications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NOTIF-01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Notification module supports pluggable channel providers (email, SMS, WhatsApp Business API, push) behind the same abstraction pattern as the assessment engine.</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NOTIF-02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Channel provider selection is configurable per tenant and per notification type.</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NOTIF-03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supports templated, localizable notification content.</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NOTIF-04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 student's channel opt-in/opt-out preferences are respected and stored as part of their consent record.</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8.8 Payments &amp;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BILL-01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Billing module supports a pluggable payment-gateway pattern, with Razorpay as the Day-1 implementation and the contract designed to admit PayU, Stripe, or others later without redesigning the billing engine.</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BILL-02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supports fixed per-seat, per-institution flat, and usage-based billing models, selectable per plan template.</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BILL-03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supports a free trial/pilot period per tenant with automatic conversion or graceful downgrade at trial end.</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BILL-04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auto-generates GST-compliant invoices and stores them for platform and tenant retrieval.</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BILL-05</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supports proration when a tenant upgrades or downgrades mid-cycle.</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BILL-06</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runs a dunning workflow (retry, notify, grace period, suspend) for failed payments.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BILL-07</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supports coupon/discount codes and negotiated custom pricing overrides at tenant level.</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Could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BILL-08</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All payment data is handled through the gateway provider's PCI-compliant flow; the platform never stores raw card/payment credentials.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8.9 Reporting &amp;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RPT-01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provides three reporting tiers — platform-level, tenant-level, individual-level — each visible only to permitted roles (Section 6).</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Must</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RPT-02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Tenant- and platform-level reports are exportable (CSV/PDF) and schedulable for recurring delivery.</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RPT-03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supports a closed-loop outcome report linking simulation score, real assessment result (where reported back), interview outcome, and placement outcome, gated by the minimum data volume in ENG-15.</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RPT-04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All analytics involving individual student data respect tenant isolation (TEN-12) and consent scope.</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Style w:val="Heading2"/>
        <w:spacing w:after="120" w:before="280"/>
      </w:pPr>
      <w:r>
        <w:t xml:space="preserve">8.10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4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66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1426"/>
            <w:shd w:fill="D9D9D9" w:val="clear"/>
            <w:tcMar>
              <w:top w:type="dxa" w:w="80"/>
              <w:left w:type="dxa" w:w="100"/>
              <w:bottom w:type="dxa" w:w="80"/>
              <w:right w:type="dxa" w:w="100"/>
            </w:tcMar>
            <w:vAlign w:val="center"/>
          </w:tcPr>
          <w:p>
            <w:pPr>
              <w:spacing w:after="0"/>
            </w:pPr>
            <w:r>
              <w:rPr>
                <w:b/>
                <w:bCs/>
                <w:sz w:val="20"/>
                <w:szCs w:val="20"/>
              </w:rPr>
              <w:t xml:space="preserve">Priority</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INT-01</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supports SSO via Google Workspace and Microsoft accounts for tenant onboarding.</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INT-02</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Platform provides an export API/webhook so a tenant can push summary data into its existing placement portal or LMS.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Should</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INT-03</w:t>
            </w:r>
          </w:p>
        </w:tc>
        <w:tc>
          <w:tcPr>
            <w:tcW w:type="dxa" w:w="6600"/>
            <w:tcMar>
              <w:top w:type="dxa" w:w="80"/>
              <w:left w:type="dxa" w:w="100"/>
              <w:bottom w:type="dxa" w:w="80"/>
              <w:right w:type="dxa" w:w="100"/>
            </w:tcMar>
            <w:vAlign w:val="center"/>
          </w:tcPr>
          <w:p>
            <w:pPr>
              <w:spacing w:after="0"/>
            </w:pPr>
            <w:r>
              <w:rPr>
                <w:b w:val="false"/>
                <w:bCs w:val="false"/>
                <w:sz w:val="20"/>
                <w:szCs w:val="20"/>
              </w:rPr>
              <w:t xml:space="preserve">Platform exposes a documented public API for future third-party integrations.</w:t>
            </w:r>
          </w:p>
        </w:tc>
        <w:tc>
          <w:tcPr>
            <w:tcW w:type="dxa" w:w="1426"/>
            <w:tcMar>
              <w:top w:type="dxa" w:w="80"/>
              <w:left w:type="dxa" w:w="100"/>
              <w:bottom w:type="dxa" w:w="80"/>
              <w:right w:type="dxa" w:w="100"/>
            </w:tcMar>
            <w:vAlign w:val="center"/>
          </w:tcPr>
          <w:p>
            <w:pPr>
              <w:spacing w:after="0"/>
            </w:pPr>
            <w:r>
              <w:rPr>
                <w:b w:val="false"/>
                <w:bCs w:val="false"/>
                <w:sz w:val="20"/>
                <w:szCs w:val="20"/>
              </w:rPr>
              <w:t xml:space="preserve">Could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INT-04</w:t>
            </w:r>
          </w:p>
        </w:tc>
        <w:tc>
          <w:tcPr>
            <w:tcW w:type="dxa" w:w="6600"/>
            <w:shd w:fill="F2F2F2" w:val="clear"/>
            <w:tcMar>
              <w:top w:type="dxa" w:w="80"/>
              <w:left w:type="dxa" w:w="100"/>
              <w:bottom w:type="dxa" w:w="80"/>
              <w:right w:type="dxa" w:w="100"/>
            </w:tcMar>
            <w:vAlign w:val="center"/>
          </w:tcPr>
          <w:p>
            <w:pPr>
              <w:spacing w:after="0"/>
            </w:pPr>
            <w:r>
              <w:rPr>
                <w:b w:val="false"/>
                <w:bCs w:val="false"/>
                <w:sz w:val="20"/>
                <w:szCs w:val="20"/>
              </w:rPr>
              <w:t xml:space="preserve">Any integration moving student personal data outside the platform requires explicit consent and is logged per DPDP requirements.</w:t>
            </w:r>
          </w:p>
        </w:tc>
        <w:tc>
          <w:tcPr>
            <w:tcW w:type="dxa" w:w="1426"/>
            <w:shd w:fill="F2F2F2" w:val="clear"/>
            <w:tcMar>
              <w:top w:type="dxa" w:w="80"/>
              <w:left w:type="dxa" w:w="100"/>
              <w:bottom w:type="dxa" w:w="80"/>
              <w:right w:type="dxa" w:w="100"/>
            </w:tcMar>
            <w:vAlign w:val="center"/>
          </w:tcPr>
          <w:p>
            <w:pPr>
              <w:spacing w:after="0"/>
            </w:pPr>
            <w:r>
              <w:rPr>
                <w:b w:val="false"/>
                <w:bCs w:val="false"/>
                <w:sz w:val="20"/>
                <w:szCs w:val="20"/>
              </w:rPr>
              <w:t xml:space="preserve">Must</w:t>
            </w:r>
          </w:p>
        </w:tc>
      </w:tr>
    </w:tbl>
    <w:p>
      <w:pPr>
        <w:pageBreakBefore/>
      </w:pPr>
      <w:r>
        <w:br/>
      </w:r>
    </w:p>
    <w:p>
      <w:pPr>
        <w:pStyle w:val="Heading1"/>
        <w:spacing w:after="160" w:before="360"/>
      </w:pPr>
      <w: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26"/>
      </w:tblGrid>
      <w:tr>
        <w:trPr>
          <w:tblHeader/>
        </w:trPr>
        <w:tc>
          <w:tcPr>
            <w:tcW w:type="dxa" w:w="1000"/>
            <w:shd w:fill="D9D9D9" w:val="clear"/>
            <w:tcMar>
              <w:top w:type="dxa" w:w="80"/>
              <w:left w:type="dxa" w:w="100"/>
              <w:bottom w:type="dxa" w:w="80"/>
              <w:right w:type="dxa" w:w="100"/>
            </w:tcMar>
            <w:vAlign w:val="center"/>
          </w:tcPr>
          <w:p>
            <w:pPr>
              <w:spacing w:after="0"/>
            </w:pPr>
            <w:r>
              <w:rPr>
                <w:b/>
                <w:bCs/>
                <w:sz w:val="20"/>
                <w:szCs w:val="20"/>
              </w:rPr>
              <w:t xml:space="preserve">ID</w:t>
            </w:r>
          </w:p>
        </w:tc>
        <w:tc>
          <w:tcPr>
            <w:tcW w:type="dxa" w:w="4400"/>
            <w:shd w:fill="D9D9D9" w:val="clear"/>
            <w:tcMar>
              <w:top w:type="dxa" w:w="80"/>
              <w:left w:type="dxa" w:w="100"/>
              <w:bottom w:type="dxa" w:w="80"/>
              <w:right w:type="dxa" w:w="100"/>
            </w:tcMar>
            <w:vAlign w:val="center"/>
          </w:tcPr>
          <w:p>
            <w:pPr>
              <w:spacing w:after="0"/>
            </w:pPr>
            <w:r>
              <w:rPr>
                <w:b/>
                <w:bCs/>
                <w:sz w:val="20"/>
                <w:szCs w:val="20"/>
              </w:rPr>
              <w:t xml:space="preserve">Requirement</w:t>
            </w:r>
          </w:p>
        </w:tc>
        <w:tc>
          <w:tcPr>
            <w:tcW w:type="dxa" w:w="3626"/>
            <w:shd w:fill="D9D9D9" w:val="clear"/>
            <w:tcMar>
              <w:top w:type="dxa" w:w="80"/>
              <w:left w:type="dxa" w:w="100"/>
              <w:bottom w:type="dxa" w:w="80"/>
              <w:right w:type="dxa" w:w="100"/>
            </w:tcMar>
            <w:vAlign w:val="center"/>
          </w:tcPr>
          <w:p>
            <w:pPr>
              <w:spacing w:after="0"/>
            </w:pPr>
            <w:r>
              <w:rPr>
                <w:b/>
                <w:bCs/>
                <w:sz w:val="20"/>
                <w:szCs w:val="20"/>
              </w:rPr>
              <w:t xml:space="preserve">Target / Metric</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NFR-01</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End-to-end scoring latency, capture-end to result display, for a single task response.</w:t>
            </w:r>
          </w:p>
        </w:tc>
        <w:tc>
          <w:tcPr>
            <w:tcW w:type="dxa" w:w="3626"/>
            <w:tcMar>
              <w:top w:type="dxa" w:w="80"/>
              <w:left w:type="dxa" w:w="100"/>
              <w:bottom w:type="dxa" w:w="80"/>
              <w:right w:type="dxa" w:w="100"/>
            </w:tcMar>
            <w:vAlign w:val="center"/>
          </w:tcPr>
          <w:p>
            <w:pPr>
              <w:spacing w:after="0"/>
            </w:pPr>
            <w:r>
              <w:rPr>
                <w:b w:val="false"/>
                <w:bCs w:val="false"/>
                <w:sz w:val="20"/>
                <w:szCs w:val="20"/>
              </w:rPr>
              <w:t xml:space="preserve">≤5s scripted tasks, ≤8s unscripted/open-response tasks, under normal load</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NFR-02</w:t>
            </w:r>
          </w:p>
        </w:tc>
        <w:tc>
          <w:tcPr>
            <w:tcW w:type="dxa" w:w="4400"/>
            <w:shd w:fill="F2F2F2" w:val="clear"/>
            <w:tcMar>
              <w:top w:type="dxa" w:w="80"/>
              <w:left w:type="dxa" w:w="100"/>
              <w:bottom w:type="dxa" w:w="80"/>
              <w:right w:type="dxa" w:w="100"/>
            </w:tcMar>
            <w:vAlign w:val="center"/>
          </w:tcPr>
          <w:p>
            <w:pPr>
              <w:spacing w:after="0"/>
            </w:pPr>
            <w:r>
              <w:rPr>
                <w:b w:val="false"/>
                <w:bCs w:val="false"/>
                <w:sz w:val="20"/>
                <w:szCs w:val="20"/>
              </w:rPr>
              <w:t xml:space="preserve">Concurrent simulation sessions supported without latency degradation.</w:t>
            </w:r>
          </w:p>
        </w:tc>
        <w:tc>
          <w:tcPr>
            <w:tcW w:type="dxa" w:w="3626"/>
            <w:shd w:fill="F2F2F2" w:val="clear"/>
            <w:tcMar>
              <w:top w:type="dxa" w:w="80"/>
              <w:left w:type="dxa" w:w="100"/>
              <w:bottom w:type="dxa" w:w="80"/>
              <w:right w:type="dxa" w:w="100"/>
            </w:tcMar>
            <w:vAlign w:val="center"/>
          </w:tcPr>
          <w:p>
            <w:pPr>
              <w:spacing w:after="0"/>
            </w:pPr>
            <w:r>
              <w:rPr>
                <w:b w:val="false"/>
                <w:bCs w:val="false"/>
                <w:sz w:val="20"/>
                <w:szCs w:val="20"/>
              </w:rPr>
              <w:t xml:space="preserve">Sized to peak placement-season load across all active tenants</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NFR-03</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Platform availability.</w:t>
            </w:r>
          </w:p>
        </w:tc>
        <w:tc>
          <w:tcPr>
            <w:tcW w:type="dxa" w:w="3626"/>
            <w:tcMar>
              <w:top w:type="dxa" w:w="80"/>
              <w:left w:type="dxa" w:w="100"/>
              <w:bottom w:type="dxa" w:w="80"/>
              <w:right w:type="dxa" w:w="100"/>
            </w:tcMar>
            <w:vAlign w:val="center"/>
          </w:tcPr>
          <w:p>
            <w:pPr>
              <w:spacing w:after="0"/>
            </w:pPr>
            <w:r>
              <w:rPr>
                <w:b w:val="false"/>
                <w:bCs w:val="false"/>
                <w:sz w:val="20"/>
                <w:szCs w:val="20"/>
              </w:rPr>
              <w:t xml:space="preserve">≥99.5% uptime during placement-season windows; published maintenance windows otherwise</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NFR-04</w:t>
            </w:r>
          </w:p>
        </w:tc>
        <w:tc>
          <w:tcPr>
            <w:tcW w:type="dxa" w:w="4400"/>
            <w:shd w:fill="F2F2F2" w:val="clear"/>
            <w:tcMar>
              <w:top w:type="dxa" w:w="80"/>
              <w:left w:type="dxa" w:w="100"/>
              <w:bottom w:type="dxa" w:w="80"/>
              <w:right w:type="dxa" w:w="100"/>
            </w:tcMar>
            <w:vAlign w:val="center"/>
          </w:tcPr>
          <w:p>
            <w:pPr>
              <w:spacing w:after="0"/>
            </w:pPr>
            <w:r>
              <w:rPr>
                <w:b w:val="false"/>
                <w:bCs w:val="false"/>
                <w:sz w:val="20"/>
                <w:szCs w:val="20"/>
              </w:rPr>
              <w:t xml:space="preserve">Encryption of audio and personal data.</w:t>
            </w:r>
          </w:p>
        </w:tc>
        <w:tc>
          <w:tcPr>
            <w:tcW w:type="dxa" w:w="3626"/>
            <w:shd w:fill="F2F2F2" w:val="clear"/>
            <w:tcMar>
              <w:top w:type="dxa" w:w="80"/>
              <w:left w:type="dxa" w:w="100"/>
              <w:bottom w:type="dxa" w:w="80"/>
              <w:right w:type="dxa" w:w="100"/>
            </w:tcMar>
            <w:vAlign w:val="center"/>
          </w:tcPr>
          <w:p>
            <w:pPr>
              <w:spacing w:after="0"/>
            </w:pPr>
            <w:r>
              <w:rPr>
                <w:b w:val="false"/>
                <w:bCs w:val="false"/>
                <w:sz w:val="20"/>
                <w:szCs w:val="20"/>
              </w:rPr>
              <w:t xml:space="preserve">TLS in transit; encrypted at rest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NFR-05</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Access control on admin and provider-config actions.</w:t>
            </w:r>
          </w:p>
        </w:tc>
        <w:tc>
          <w:tcPr>
            <w:tcW w:type="dxa" w:w="3626"/>
            <w:tcMar>
              <w:top w:type="dxa" w:w="80"/>
              <w:left w:type="dxa" w:w="100"/>
              <w:bottom w:type="dxa" w:w="80"/>
              <w:right w:type="dxa" w:w="100"/>
            </w:tcMar>
            <w:vAlign w:val="center"/>
          </w:tcPr>
          <w:p>
            <w:pPr>
              <w:spacing w:after="0"/>
            </w:pPr>
            <w:r>
              <w:rPr>
                <w:b w:val="false"/>
                <w:bCs w:val="false"/>
                <w:sz w:val="20"/>
                <w:szCs w:val="20"/>
              </w:rPr>
              <w:t xml:space="preserve">MFA required; RBAC enforced at the API layer, not only the UI</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NFR-06</w:t>
            </w:r>
          </w:p>
        </w:tc>
        <w:tc>
          <w:tcPr>
            <w:tcW w:type="dxa" w:w="4400"/>
            <w:shd w:fill="F2F2F2" w:val="clear"/>
            <w:tcMar>
              <w:top w:type="dxa" w:w="80"/>
              <w:left w:type="dxa" w:w="100"/>
              <w:bottom w:type="dxa" w:w="80"/>
              <w:right w:type="dxa" w:w="100"/>
            </w:tcMar>
            <w:vAlign w:val="center"/>
          </w:tcPr>
          <w:p>
            <w:pPr>
              <w:spacing w:after="0"/>
            </w:pPr>
            <w:r>
              <w:rPr>
                <w:b w:val="false"/>
                <w:bCs w:val="false"/>
                <w:sz w:val="20"/>
                <w:szCs w:val="20"/>
              </w:rPr>
              <w:t xml:space="preserve">Configurability of AI/payment/notification providers.</w:t>
            </w:r>
          </w:p>
        </w:tc>
        <w:tc>
          <w:tcPr>
            <w:tcW w:type="dxa" w:w="3626"/>
            <w:shd w:fill="F2F2F2" w:val="clear"/>
            <w:tcMar>
              <w:top w:type="dxa" w:w="80"/>
              <w:left w:type="dxa" w:w="100"/>
              <w:bottom w:type="dxa" w:w="80"/>
              <w:right w:type="dxa" w:w="100"/>
            </w:tcMar>
            <w:vAlign w:val="center"/>
          </w:tcPr>
          <w:p>
            <w:pPr>
              <w:spacing w:after="0"/>
            </w:pPr>
            <w:r>
              <w:rPr>
                <w:b w:val="false"/>
                <w:bCs w:val="false"/>
                <w:sz w:val="20"/>
                <w:szCs w:val="20"/>
              </w:rPr>
              <w:t xml:space="preserve">Switchable via Platform Admin config; zero code deployment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NFR-07</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DPDP Act 2023 compliance.</w:t>
            </w:r>
          </w:p>
        </w:tc>
        <w:tc>
          <w:tcPr>
            <w:tcW w:type="dxa" w:w="3626"/>
            <w:tcMar>
              <w:top w:type="dxa" w:w="80"/>
              <w:left w:type="dxa" w:w="100"/>
              <w:bottom w:type="dxa" w:w="80"/>
              <w:right w:type="dxa" w:w="100"/>
            </w:tcMar>
            <w:vAlign w:val="center"/>
          </w:tcPr>
          <w:p>
            <w:pPr>
              <w:spacing w:after="0"/>
            </w:pPr>
            <w:r>
              <w:rPr>
                <w:b w:val="false"/>
                <w:bCs w:val="false"/>
                <w:sz w:val="20"/>
                <w:szCs w:val="20"/>
              </w:rPr>
              <w:t xml:space="preserve">Verifiable consent pre-collection; purpose limitation; deletion on request or purpose completion; designated DPO/Consent Manager</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NFR-08</w:t>
            </w:r>
          </w:p>
        </w:tc>
        <w:tc>
          <w:tcPr>
            <w:tcW w:type="dxa" w:w="4400"/>
            <w:shd w:fill="F2F2F2" w:val="clear"/>
            <w:tcMar>
              <w:top w:type="dxa" w:w="80"/>
              <w:left w:type="dxa" w:w="100"/>
              <w:bottom w:type="dxa" w:w="80"/>
              <w:right w:type="dxa" w:w="100"/>
            </w:tcMar>
            <w:vAlign w:val="center"/>
          </w:tcPr>
          <w:p>
            <w:pPr>
              <w:spacing w:after="0"/>
            </w:pPr>
            <w:r>
              <w:rPr>
                <w:b w:val="false"/>
                <w:bCs w:val="false"/>
                <w:sz w:val="20"/>
                <w:szCs w:val="20"/>
              </w:rPr>
              <w:t xml:space="preserve">Data residency for student personal data and audio.</w:t>
            </w:r>
          </w:p>
        </w:tc>
        <w:tc>
          <w:tcPr>
            <w:tcW w:type="dxa" w:w="3626"/>
            <w:shd w:fill="F2F2F2" w:val="clear"/>
            <w:tcMar>
              <w:top w:type="dxa" w:w="80"/>
              <w:left w:type="dxa" w:w="100"/>
              <w:bottom w:type="dxa" w:w="80"/>
              <w:right w:type="dxa" w:w="100"/>
            </w:tcMar>
            <w:vAlign w:val="center"/>
          </w:tcPr>
          <w:p>
            <w:pPr>
              <w:spacing w:after="0"/>
            </w:pPr>
            <w:r>
              <w:rPr>
                <w:b w:val="false"/>
                <w:bCs w:val="false"/>
                <w:sz w:val="20"/>
                <w:szCs w:val="20"/>
              </w:rPr>
              <w:t xml:space="preserve">India-based infrastructure by default</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NFR-09</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Localization of UI and core flows.</w:t>
            </w:r>
          </w:p>
        </w:tc>
        <w:tc>
          <w:tcPr>
            <w:tcW w:type="dxa" w:w="3626"/>
            <w:tcMar>
              <w:top w:type="dxa" w:w="80"/>
              <w:left w:type="dxa" w:w="100"/>
              <w:bottom w:type="dxa" w:w="80"/>
              <w:right w:type="dxa" w:w="100"/>
            </w:tcMar>
            <w:vAlign w:val="center"/>
          </w:tcPr>
          <w:p>
            <w:pPr>
              <w:spacing w:after="0"/>
            </w:pPr>
            <w:r>
              <w:rPr>
                <w:b w:val="false"/>
                <w:bCs w:val="false"/>
                <w:sz w:val="20"/>
                <w:szCs w:val="20"/>
              </w:rPr>
              <w:t xml:space="preserve">Supports primary pilot-region L1 languages (e.g., Telugu, Hindi, Tamil); assessed language remains English</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NFR-10</w:t>
            </w:r>
          </w:p>
        </w:tc>
        <w:tc>
          <w:tcPr>
            <w:tcW w:type="dxa" w:w="4400"/>
            <w:shd w:fill="F2F2F2" w:val="clear"/>
            <w:tcMar>
              <w:top w:type="dxa" w:w="80"/>
              <w:left w:type="dxa" w:w="100"/>
              <w:bottom w:type="dxa" w:w="80"/>
              <w:right w:type="dxa" w:w="100"/>
            </w:tcMar>
            <w:vAlign w:val="center"/>
          </w:tcPr>
          <w:p>
            <w:pPr>
              <w:spacing w:after="0"/>
            </w:pPr>
            <w:r>
              <w:rPr>
                <w:b w:val="false"/>
                <w:bCs w:val="false"/>
                <w:sz w:val="20"/>
                <w:szCs w:val="20"/>
              </w:rPr>
              <w:t xml:space="preserve">Device/bandwidth resilience.</w:t>
            </w:r>
          </w:p>
        </w:tc>
        <w:tc>
          <w:tcPr>
            <w:tcW w:type="dxa" w:w="3626"/>
            <w:shd w:fill="F2F2F2" w:val="clear"/>
            <w:tcMar>
              <w:top w:type="dxa" w:w="80"/>
              <w:left w:type="dxa" w:w="100"/>
              <w:bottom w:type="dxa" w:w="80"/>
              <w:right w:type="dxa" w:w="100"/>
            </w:tcMar>
            <w:vAlign w:val="center"/>
          </w:tcPr>
          <w:p>
            <w:pPr>
              <w:spacing w:after="0"/>
            </w:pPr>
            <w:r>
              <w:rPr>
                <w:b w:val="false"/>
                <w:bCs w:val="false"/>
                <w:sz w:val="20"/>
                <w:szCs w:val="20"/>
              </w:rPr>
              <w:t xml:space="preserve">Core flows functional on budget Android devices and intermittent connections</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NFR-11</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Auditability of score-affecting actions.</w:t>
            </w:r>
          </w:p>
        </w:tc>
        <w:tc>
          <w:tcPr>
            <w:tcW w:type="dxa" w:w="3626"/>
            <w:tcMar>
              <w:top w:type="dxa" w:w="80"/>
              <w:left w:type="dxa" w:w="100"/>
              <w:bottom w:type="dxa" w:w="80"/>
              <w:right w:type="dxa" w:w="100"/>
            </w:tcMar>
            <w:vAlign w:val="center"/>
          </w:tcPr>
          <w:p>
            <w:pPr>
              <w:spacing w:after="0"/>
            </w:pPr>
            <w:r>
              <w:rPr>
                <w:b w:val="false"/>
                <w:bCs w:val="false"/>
                <w:sz w:val="20"/>
                <w:szCs w:val="20"/>
              </w:rPr>
              <w:t xml:space="preserve">Every provider switch, item-bank change, or manual override logged with actor and timestamp</w:t>
            </w:r>
          </w:p>
        </w:tc>
      </w:tr>
      <w:tr>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NFR-12</w:t>
            </w:r>
          </w:p>
        </w:tc>
        <w:tc>
          <w:tcPr>
            <w:tcW w:type="dxa" w:w="4400"/>
            <w:shd w:fill="F2F2F2" w:val="clear"/>
            <w:tcMar>
              <w:top w:type="dxa" w:w="80"/>
              <w:left w:type="dxa" w:w="100"/>
              <w:bottom w:type="dxa" w:w="80"/>
              <w:right w:type="dxa" w:w="100"/>
            </w:tcMar>
            <w:vAlign w:val="center"/>
          </w:tcPr>
          <w:p>
            <w:pPr>
              <w:spacing w:after="0"/>
            </w:pPr>
            <w:r>
              <w:rPr>
                <w:b w:val="false"/>
                <w:bCs w:val="false"/>
                <w:sz w:val="20"/>
                <w:szCs w:val="20"/>
              </w:rPr>
              <w:t xml:space="preserve">Disaster recovery.</w:t>
            </w:r>
          </w:p>
        </w:tc>
        <w:tc>
          <w:tcPr>
            <w:tcW w:type="dxa" w:w="3626"/>
            <w:shd w:fill="F2F2F2" w:val="clear"/>
            <w:tcMar>
              <w:top w:type="dxa" w:w="80"/>
              <w:left w:type="dxa" w:w="100"/>
              <w:bottom w:type="dxa" w:w="80"/>
              <w:right w:type="dxa" w:w="100"/>
            </w:tcMar>
            <w:vAlign w:val="center"/>
          </w:tcPr>
          <w:p>
            <w:pPr>
              <w:spacing w:after="0"/>
            </w:pPr>
            <w:r>
              <w:rPr>
                <w:b w:val="false"/>
                <w:bCs w:val="false"/>
                <w:sz w:val="20"/>
                <w:szCs w:val="20"/>
              </w:rPr>
              <w:t xml:space="preserve">Defined RPO/RTO targets; backups verified on a regular cadence</w:t>
            </w:r>
          </w:p>
        </w:tc>
      </w:tr>
      <w:tr>
        <w:tc>
          <w:tcPr>
            <w:tcW w:type="dxa" w:w="1000"/>
            <w:tcMar>
              <w:top w:type="dxa" w:w="80"/>
              <w:left w:type="dxa" w:w="100"/>
              <w:bottom w:type="dxa" w:w="80"/>
              <w:right w:type="dxa" w:w="100"/>
            </w:tcMar>
            <w:vAlign w:val="center"/>
          </w:tcPr>
          <w:p>
            <w:pPr>
              <w:spacing w:after="0"/>
            </w:pPr>
            <w:r>
              <w:rPr>
                <w:b w:val="false"/>
                <w:bCs w:val="false"/>
                <w:sz w:val="20"/>
                <w:szCs w:val="20"/>
              </w:rPr>
              <w:t xml:space="preserve">NFR-13</w:t>
            </w:r>
          </w:p>
        </w:tc>
        <w:tc>
          <w:tcPr>
            <w:tcW w:type="dxa" w:w="4400"/>
            <w:tcMar>
              <w:top w:type="dxa" w:w="80"/>
              <w:left w:type="dxa" w:w="100"/>
              <w:bottom w:type="dxa" w:w="80"/>
              <w:right w:type="dxa" w:w="100"/>
            </w:tcMar>
            <w:vAlign w:val="center"/>
          </w:tcPr>
          <w:p>
            <w:pPr>
              <w:spacing w:after="0"/>
            </w:pPr>
            <w:r>
              <w:rPr>
                <w:b w:val="false"/>
                <w:bCs w:val="false"/>
                <w:sz w:val="20"/>
                <w:szCs w:val="20"/>
              </w:rPr>
              <w:t xml:space="preserve">Model governance.</w:t>
            </w:r>
          </w:p>
        </w:tc>
        <w:tc>
          <w:tcPr>
            <w:tcW w:type="dxa" w:w="3626"/>
            <w:tcMar>
              <w:top w:type="dxa" w:w="80"/>
              <w:left w:type="dxa" w:w="100"/>
              <w:bottom w:type="dxa" w:w="80"/>
              <w:right w:type="dxa" w:w="100"/>
            </w:tcMar>
            <w:vAlign w:val="center"/>
          </w:tcPr>
          <w:p>
            <w:pPr>
              <w:spacing w:after="0"/>
            </w:pPr>
            <w:r>
              <w:rPr>
                <w:b w:val="false"/>
                <w:bCs w:val="false"/>
                <w:sz w:val="20"/>
                <w:szCs w:val="20"/>
              </w:rPr>
              <w:t xml:space="preserve">No provider promoted to full production traffic without passing shadow-mode/canary evaluation (ENG-20)</w:t>
            </w:r>
          </w:p>
        </w:tc>
      </w:tr>
    </w:tbl>
    <w:p>
      <w:pPr>
        <w:pageBreakBefore/>
      </w:pPr>
      <w:r>
        <w:br/>
      </w:r>
    </w:p>
    <w:p>
      <w:pPr>
        <w:pStyle w:val="Heading1"/>
        <w:spacing w:after="160" w:before="360"/>
      </w:pPr>
      <w:r>
        <w:t xml:space="preserve">10. Data Requirements</w:t>
      </w:r>
    </w:p>
    <w:p>
      <w:pPr>
        <w:spacing w:after="160" w:line="276"/>
        <w:jc w:val="left"/>
      </w:pPr>
      <w:r>
        <w:rPr>
          <w:b w:val="false"/>
          <w:bCs w:val="false"/>
          <w:i w:val="false"/>
          <w:iCs w:val="false"/>
        </w:rPr>
        <w:t xml:space="preserve">Key entities the platform must model. This is a business-level entity list, not a physical schema; engineering design derives the schema from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Entity</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Description</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Tenant</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An onboarded institution/organization and its top-level configuration.</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TenantConfig</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Branding, feature flags, and provider selection overrides for a tenant.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Plan</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 versioned pricing/plan template (per-seat, flat, usage-based, freemium).</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Subscription</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 tenant's active plan assignment, including custom terms and billing cycle.</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Invoice</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 generated, GST-compliant billing record for a subscription period.</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User</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Any platform account — Platform staff, Tenant Admin, Trainer, or Student — scoped by role and (where applicable) tenant.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Role</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The permission set assigned to a User, per Section 6.</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Cohort</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 grouping of students within a tenant (branch/year/section) for assignment and reporting.</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ConsentRecord</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 timestamped record of what a student consented to, including channel opt-ins and DPDP-relevant purpose disclosures.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SimulationProfile</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 configured, versioned sequence of task types replicating a specific assessment style.</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TaskItem</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An individual prompt/item with difficulty, discrimination, and L1-group metadata.</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Attempt</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One completed simulation pass by a student, linked to its scored record.</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ResponseAudio</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The captured audio for a single task response within an attempt, with its retention policy.</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ScoreRecord</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The full set of sub-scores and the provider/version that generated each, for a given attempt.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ProviderRegistry</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The catalog of all capabilities and their registered provider implementations.</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ProviderConfig</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The active/fallback provider selection per capability, globally or per tenant.</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ModelVersion</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 specific version of an in-house or third-party model registered against a capability.</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AuditLog</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An immutable record of administrative and provider-config actions.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NotificationLog</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 record of notifications sent, channel used, and delivery/opt-in status.</w:t>
            </w:r>
          </w:p>
        </w:tc>
      </w:tr>
    </w:tbl>
    <w:p>
      <w:pPr>
        <w:pageBreakBefore/>
      </w:pPr>
      <w:r>
        <w:br/>
      </w:r>
    </w:p>
    <w:p>
      <w:pPr>
        <w:pStyle w:val="Heading1"/>
        <w:spacing w:after="160" w:before="360"/>
      </w:pPr>
      <w:r>
        <w:t xml:space="preserve">11. Assumptions &amp; Constraints</w:t>
      </w:r>
    </w:p>
    <w:p>
      <w:pPr>
        <w:pStyle w:val="ListParagraph"/>
        <w:numPr>
          <w:ilvl w:val="0"/>
          <w:numId w:val="2"/>
        </w:numPr>
        <w:spacing w:after="80" w:line="276"/>
      </w:pPr>
      <w:r>
        <w:t xml:space="preserve">Assumes the initial pilot draws on Pyramid Innovations' existing 30+ college CRT network as both the first tenants and the source population for the ENG-09 labelling program.</w:t>
      </w:r>
    </w:p>
    <w:p>
      <w:pPr>
        <w:pStyle w:val="ListParagraph"/>
        <w:numPr>
          <w:ilvl w:val="0"/>
          <w:numId w:val="2"/>
        </w:numPr>
        <w:spacing w:after="80" w:line="276"/>
      </w:pPr>
      <w:r>
        <w:t xml:space="preserve">Assumes an in-house own-build engine will take materially longer to reach MVP quality than a vendor-assisted approach; the phasing in Section 14 reflects that directly rather than promising a shortcut.</w:t>
      </w:r>
    </w:p>
    <w:p>
      <w:pPr>
        <w:pStyle w:val="ListParagraph"/>
        <w:numPr>
          <w:ilvl w:val="0"/>
          <w:numId w:val="2"/>
        </w:numPr>
        <w:spacing w:after="80" w:line="276"/>
      </w:pPr>
      <w:r>
        <w:t xml:space="preserve">Assumes most students are of legal majority age, but does not assume all are; a parental-consent pathway is held in reserve (NFR-07) should any tenant onboard pre-18 cohorts.</w:t>
      </w:r>
    </w:p>
    <w:p>
      <w:pPr>
        <w:pStyle w:val="ListParagraph"/>
        <w:numPr>
          <w:ilvl w:val="0"/>
          <w:numId w:val="2"/>
        </w:numPr>
        <w:spacing w:after="80" w:line="276"/>
      </w:pPr>
      <w:r>
        <w:t xml:space="preserve">Assumes India-first hosting and Razorpay as the Day-1 payment gateway, with the provider-abstraction layer as the designed path to other geographies/gateways later.</w:t>
      </w:r>
    </w:p>
    <w:p>
      <w:pPr>
        <w:pStyle w:val="ListParagraph"/>
        <w:numPr>
          <w:ilvl w:val="0"/>
          <w:numId w:val="2"/>
        </w:numPr>
        <w:spacing w:after="80" w:line="276"/>
      </w:pPr>
      <w:r>
        <w:t xml:space="preserve">Constraint: simulation profiles must never replicate a named vendor's actual proprietary test items or scoring algorithm — task format, timing, and pressure characteristics only ("-style").</w:t>
      </w:r>
    </w:p>
    <w:p>
      <w:pPr>
        <w:pStyle w:val="ListParagraph"/>
        <w:numPr>
          <w:ilvl w:val="0"/>
          <w:numId w:val="2"/>
        </w:numPr>
        <w:spacing w:after="80" w:line="276"/>
      </w:pPr>
      <w:r>
        <w:t xml:space="preserve">Constraint: no capability may ship without its Provider Contract in place (ENG-16), even in Phase 1 with only one provider registered — this is what keeps the "switch anytime" requirement real rather than aspirational.</w:t>
      </w:r>
    </w:p>
    <w:p>
      <w:pPr>
        <w:pageBreakBefore/>
      </w:pPr>
      <w:r>
        <w:br/>
      </w:r>
    </w:p>
    <w:p>
      <w:pPr>
        <w:pStyle w:val="Heading1"/>
        <w:spacing w:after="160" w:before="360"/>
      </w:pPr>
      <w:r>
        <w:t xml:space="preserve">12. Risks &amp;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shd w:fill="D9D9D9" w:val="clear"/>
            <w:tcMar>
              <w:top w:type="dxa" w:w="80"/>
              <w:left w:type="dxa" w:w="100"/>
              <w:bottom w:type="dxa" w:w="80"/>
              <w:right w:type="dxa" w:w="100"/>
            </w:tcMar>
            <w:vAlign w:val="center"/>
          </w:tcPr>
          <w:p>
            <w:pPr>
              <w:spacing w:after="0"/>
            </w:pPr>
            <w:r>
              <w:rPr>
                <w:b/>
                <w:bCs/>
                <w:sz w:val="20"/>
                <w:szCs w:val="20"/>
              </w:rPr>
              <w:t xml:space="preserve">Risk</w:t>
            </w:r>
          </w:p>
        </w:tc>
        <w:tc>
          <w:tcPr>
            <w:tcW w:type="dxa" w:w="1400"/>
            <w:shd w:fill="D9D9D9" w:val="clear"/>
            <w:tcMar>
              <w:top w:type="dxa" w:w="80"/>
              <w:left w:type="dxa" w:w="100"/>
              <w:bottom w:type="dxa" w:w="80"/>
              <w:right w:type="dxa" w:w="100"/>
            </w:tcMar>
            <w:vAlign w:val="center"/>
          </w:tcPr>
          <w:p>
            <w:pPr>
              <w:spacing w:after="0"/>
            </w:pPr>
            <w:r>
              <w:rPr>
                <w:b/>
                <w:bCs/>
                <w:sz w:val="20"/>
                <w:szCs w:val="20"/>
              </w:rPr>
              <w:t xml:space="preserve">Impact</w:t>
            </w:r>
          </w:p>
        </w:tc>
        <w:tc>
          <w:tcPr>
            <w:tcW w:type="dxa" w:w="5226"/>
            <w:shd w:fill="D9D9D9" w:val="clear"/>
            <w:tcMar>
              <w:top w:type="dxa" w:w="80"/>
              <w:left w:type="dxa" w:w="100"/>
              <w:bottom w:type="dxa" w:w="80"/>
              <w:right w:type="dxa" w:w="100"/>
            </w:tcMar>
            <w:vAlign w:val="center"/>
          </w:tcPr>
          <w:p>
            <w:pPr>
              <w:spacing w:after="0"/>
            </w:pPr>
            <w:r>
              <w:rPr>
                <w:b/>
                <w:bCs/>
                <w:sz w:val="20"/>
                <w:szCs w:val="20"/>
              </w:rPr>
              <w:t xml:space="preserve">Mitigation</w:t>
            </w:r>
          </w:p>
        </w:tc>
      </w:tr>
      <w:tr>
        <w:tc>
          <w:tcPr>
            <w:tcW w:type="dxa" w:w="2400"/>
            <w:tcMar>
              <w:top w:type="dxa" w:w="80"/>
              <w:left w:type="dxa" w:w="100"/>
              <w:bottom w:type="dxa" w:w="80"/>
              <w:right w:type="dxa" w:w="100"/>
            </w:tcMar>
            <w:vAlign w:val="center"/>
          </w:tcPr>
          <w:p>
            <w:pPr>
              <w:spacing w:after="0"/>
            </w:pPr>
            <w:r>
              <w:rPr>
                <w:b w:val="false"/>
                <w:bCs w:val="false"/>
                <w:sz w:val="20"/>
                <w:szCs w:val="20"/>
              </w:rPr>
              <w:t xml:space="preserve">Own-build engine may underperform vendor APIs on accuracy/latency in early phases, undermining the "instant, accurate diagnosis" promise.</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High</w:t>
            </w:r>
          </w:p>
        </w:tc>
        <w:tc>
          <w:tcPr>
            <w:tcW w:type="dxa" w:w="5226"/>
            <w:tcMar>
              <w:top w:type="dxa" w:w="80"/>
              <w:left w:type="dxa" w:w="100"/>
              <w:bottom w:type="dxa" w:w="80"/>
              <w:right w:type="dxa" w:w="100"/>
            </w:tcMar>
            <w:vAlign w:val="center"/>
          </w:tcPr>
          <w:p>
            <w:pPr>
              <w:spacing w:after="0"/>
            </w:pPr>
            <w:r>
              <w:rPr>
                <w:b w:val="false"/>
                <w:bCs w:val="false"/>
                <w:sz w:val="20"/>
                <w:szCs w:val="20"/>
              </w:rPr>
              <w:t xml:space="preserve">Provider-abstraction layer (ENG-16–21) allows a temporary third-party provider to be enabled per tenant while the in-house model matures, without re-architecture.</w:t>
            </w:r>
          </w:p>
        </w:tc>
      </w:tr>
      <w:tr>
        <w:tc>
          <w:tcPr>
            <w:tcW w:type="dxa" w:w="2400"/>
            <w:shd w:fill="F2F2F2" w:val="clear"/>
            <w:tcMar>
              <w:top w:type="dxa" w:w="80"/>
              <w:left w:type="dxa" w:w="100"/>
              <w:bottom w:type="dxa" w:w="80"/>
              <w:right w:type="dxa" w:w="100"/>
            </w:tcMar>
            <w:vAlign w:val="center"/>
          </w:tcPr>
          <w:p>
            <w:pPr>
              <w:spacing w:after="0"/>
            </w:pPr>
            <w:r>
              <w:rPr>
                <w:b w:val="false"/>
                <w:bCs w:val="false"/>
                <w:sz w:val="20"/>
                <w:szCs w:val="20"/>
              </w:rPr>
              <w:t xml:space="preserve">Legal/IP exposure from replicating Versant/SVAR/SpeechX format, timing, and pressure closely enough to be a credible simulator.</w:t>
            </w:r>
          </w:p>
        </w:tc>
        <w:tc>
          <w:tcPr>
            <w:tcW w:type="dxa" w:w="1400"/>
            <w:shd w:fill="F2F2F2" w:val="clear"/>
            <w:tcMar>
              <w:top w:type="dxa" w:w="80"/>
              <w:left w:type="dxa" w:w="100"/>
              <w:bottom w:type="dxa" w:w="80"/>
              <w:right w:type="dxa" w:w="100"/>
            </w:tcMar>
            <w:vAlign w:val="center"/>
          </w:tcPr>
          <w:p>
            <w:pPr>
              <w:spacing w:after="0"/>
            </w:pPr>
            <w:r>
              <w:rPr>
                <w:b w:val="false"/>
                <w:bCs w:val="false"/>
                <w:sz w:val="20"/>
                <w:szCs w:val="20"/>
              </w:rPr>
              <w:t xml:space="preserve">High</w:t>
            </w:r>
          </w:p>
        </w:tc>
        <w:tc>
          <w:tcPr>
            <w:tcW w:type="dxa" w:w="5226"/>
            <w:shd w:fill="F2F2F2" w:val="clear"/>
            <w:tcMar>
              <w:top w:type="dxa" w:w="80"/>
              <w:left w:type="dxa" w:w="100"/>
              <w:bottom w:type="dxa" w:w="80"/>
              <w:right w:type="dxa" w:w="100"/>
            </w:tcMar>
            <w:vAlign w:val="center"/>
          </w:tcPr>
          <w:p>
            <w:pPr>
              <w:spacing w:after="0"/>
            </w:pPr>
            <w:r>
              <w:rPr>
                <w:b w:val="false"/>
                <w:bCs w:val="false"/>
                <w:sz w:val="20"/>
                <w:szCs w:val="20"/>
              </w:rPr>
              <w:t xml:space="preserve">Independent IP review before scaling past pilot tenants; CONTENT-04 blocks verbatim item import by design.</w:t>
            </w:r>
          </w:p>
        </w:tc>
      </w:tr>
      <w:tr>
        <w:tc>
          <w:tcPr>
            <w:tcW w:type="dxa" w:w="2400"/>
            <w:tcMar>
              <w:top w:type="dxa" w:w="80"/>
              <w:left w:type="dxa" w:w="100"/>
              <w:bottom w:type="dxa" w:w="80"/>
              <w:right w:type="dxa" w:w="100"/>
            </w:tcMar>
            <w:vAlign w:val="center"/>
          </w:tcPr>
          <w:p>
            <w:pPr>
              <w:spacing w:after="0"/>
            </w:pPr>
            <w:r>
              <w:rPr>
                <w:b w:val="false"/>
                <w:bCs w:val="false"/>
                <w:sz w:val="20"/>
                <w:szCs w:val="20"/>
              </w:rPr>
              <w:t xml:space="preserve">DPDP Act non-compliance, given voice recordings sit adjacent to biometric data.</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High</w:t>
            </w:r>
          </w:p>
        </w:tc>
        <w:tc>
          <w:tcPr>
            <w:tcW w:type="dxa" w:w="5226"/>
            <w:tcMar>
              <w:top w:type="dxa" w:w="80"/>
              <w:left w:type="dxa" w:w="100"/>
              <w:bottom w:type="dxa" w:w="80"/>
              <w:right w:type="dxa" w:w="100"/>
            </w:tcMar>
            <w:vAlign w:val="center"/>
          </w:tcPr>
          <w:p>
            <w:pPr>
              <w:spacing w:after="0"/>
            </w:pPr>
            <w:r>
              <w:rPr>
                <w:b w:val="false"/>
                <w:bCs w:val="false"/>
                <w:sz w:val="20"/>
                <w:szCs w:val="20"/>
              </w:rPr>
              <w:t xml:space="preserve">Consent-first flow (STU-02), designated DPO/Consent Manager (NFR-07), purpose-limited retention, and audit logging (NFR-11) built in from Phase 1.</w:t>
            </w:r>
          </w:p>
        </w:tc>
      </w:tr>
      <w:tr>
        <w:tc>
          <w:tcPr>
            <w:tcW w:type="dxa" w:w="2400"/>
            <w:shd w:fill="F2F2F2" w:val="clear"/>
            <w:tcMar>
              <w:top w:type="dxa" w:w="80"/>
              <w:left w:type="dxa" w:w="100"/>
              <w:bottom w:type="dxa" w:w="80"/>
              <w:right w:type="dxa" w:w="100"/>
            </w:tcMar>
            <w:vAlign w:val="center"/>
          </w:tcPr>
          <w:p>
            <w:pPr>
              <w:spacing w:after="0"/>
            </w:pPr>
            <w:r>
              <w:rPr>
                <w:b w:val="false"/>
                <w:bCs w:val="false"/>
                <w:sz w:val="20"/>
                <w:szCs w:val="20"/>
              </w:rPr>
              <w:t xml:space="preserve">Test vendors (Pearson, SHL, ETS) or adjacent campus-assessment platforms ship their own AI speaking-prep tools, eroding the wedge.</w:t>
            </w:r>
          </w:p>
        </w:tc>
        <w:tc>
          <w:tcPr>
            <w:tcW w:type="dxa" w:w="1400"/>
            <w:shd w:fill="F2F2F2" w:val="clear"/>
            <w:tcMar>
              <w:top w:type="dxa" w:w="80"/>
              <w:left w:type="dxa" w:w="100"/>
              <w:bottom w:type="dxa" w:w="80"/>
              <w:right w:type="dxa" w:w="100"/>
            </w:tcMar>
            <w:vAlign w:val="center"/>
          </w:tcPr>
          <w:p>
            <w:pPr>
              <w:spacing w:after="0"/>
            </w:pPr>
            <w:r>
              <w:rPr>
                <w:b w:val="false"/>
                <w:bCs w:val="false"/>
                <w:sz w:val="20"/>
                <w:szCs w:val="20"/>
              </w:rPr>
              <w:t xml:space="preserve">Medium</w:t>
            </w:r>
          </w:p>
        </w:tc>
        <w:tc>
          <w:tcPr>
            <w:tcW w:type="dxa" w:w="5226"/>
            <w:shd w:fill="F2F2F2" w:val="clear"/>
            <w:tcMar>
              <w:top w:type="dxa" w:w="80"/>
              <w:left w:type="dxa" w:w="100"/>
              <w:bottom w:type="dxa" w:w="80"/>
              <w:right w:type="dxa" w:w="100"/>
            </w:tcMar>
            <w:vAlign w:val="center"/>
          </w:tcPr>
          <w:p>
            <w:pPr>
              <w:spacing w:after="0"/>
            </w:pPr>
            <w:r>
              <w:rPr>
                <w:b w:val="false"/>
                <w:bCs w:val="false"/>
                <w:sz w:val="20"/>
                <w:szCs w:val="20"/>
              </w:rPr>
              <w:t xml:space="preserve">Distribution advantage (existing CRT network) and closed-loop outcome data (RPT-03) are harder to replicate than a feature set; prioritize locking in tenant relationships early.</w:t>
            </w:r>
          </w:p>
        </w:tc>
      </w:tr>
      <w:tr>
        <w:tc>
          <w:tcPr>
            <w:tcW w:type="dxa" w:w="2400"/>
            <w:tcMar>
              <w:top w:type="dxa" w:w="80"/>
              <w:left w:type="dxa" w:w="100"/>
              <w:bottom w:type="dxa" w:w="80"/>
              <w:right w:type="dxa" w:w="100"/>
            </w:tcMar>
            <w:vAlign w:val="center"/>
          </w:tcPr>
          <w:p>
            <w:pPr>
              <w:spacing w:after="0"/>
            </w:pPr>
            <w:r>
              <w:rPr>
                <w:b w:val="false"/>
                <w:bCs w:val="false"/>
                <w:sz w:val="20"/>
                <w:szCs w:val="20"/>
              </w:rPr>
              <w:t xml:space="preserve">The intelligibility "moat model" (ENG-07) depends on a labelling program (ENG-09) with a long lead time and real cost.</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Medium</w:t>
            </w:r>
          </w:p>
        </w:tc>
        <w:tc>
          <w:tcPr>
            <w:tcW w:type="dxa" w:w="5226"/>
            <w:tcMar>
              <w:top w:type="dxa" w:w="80"/>
              <w:left w:type="dxa" w:w="100"/>
              <w:bottom w:type="dxa" w:w="80"/>
              <w:right w:type="dxa" w:w="100"/>
            </w:tcMar>
            <w:vAlign w:val="center"/>
          </w:tcPr>
          <w:p>
            <w:pPr>
              <w:spacing w:after="0"/>
            </w:pPr>
            <w:r>
              <w:rPr>
                <w:b w:val="false"/>
                <w:bCs w:val="false"/>
                <w:sz w:val="20"/>
                <w:szCs w:val="20"/>
              </w:rPr>
              <w:t xml:space="preserve">Start the rater program in Phase 1 in parallel with engine build; ship Phase 1 on the feature-based fluency model while labelled data accumulates.</w:t>
            </w:r>
          </w:p>
        </w:tc>
      </w:tr>
      <w:tr>
        <w:tc>
          <w:tcPr>
            <w:tcW w:type="dxa" w:w="2400"/>
            <w:shd w:fill="F2F2F2" w:val="clear"/>
            <w:tcMar>
              <w:top w:type="dxa" w:w="80"/>
              <w:left w:type="dxa" w:w="100"/>
              <w:bottom w:type="dxa" w:w="80"/>
              <w:right w:type="dxa" w:w="100"/>
            </w:tcMar>
            <w:vAlign w:val="center"/>
          </w:tcPr>
          <w:p>
            <w:pPr>
              <w:spacing w:after="0"/>
            </w:pPr>
            <w:r>
              <w:rPr>
                <w:b w:val="false"/>
                <w:bCs w:val="false"/>
                <w:sz w:val="20"/>
                <w:szCs w:val="20"/>
              </w:rPr>
              <w:t xml:space="preserve">Low-bandwidth/budget-device usage in the target population degrades real-time audio capture reliability.</w:t>
            </w:r>
          </w:p>
        </w:tc>
        <w:tc>
          <w:tcPr>
            <w:tcW w:type="dxa" w:w="1400"/>
            <w:shd w:fill="F2F2F2" w:val="clear"/>
            <w:tcMar>
              <w:top w:type="dxa" w:w="80"/>
              <w:left w:type="dxa" w:w="100"/>
              <w:bottom w:type="dxa" w:w="80"/>
              <w:right w:type="dxa" w:w="100"/>
            </w:tcMar>
            <w:vAlign w:val="center"/>
          </w:tcPr>
          <w:p>
            <w:pPr>
              <w:spacing w:after="0"/>
            </w:pPr>
            <w:r>
              <w:rPr>
                <w:b w:val="false"/>
                <w:bCs w:val="false"/>
                <w:sz w:val="20"/>
                <w:szCs w:val="20"/>
              </w:rPr>
              <w:t xml:space="preserve">Medium</w:t>
            </w:r>
          </w:p>
        </w:tc>
        <w:tc>
          <w:tcPr>
            <w:tcW w:type="dxa" w:w="5226"/>
            <w:shd w:fill="F2F2F2" w:val="clear"/>
            <w:tcMar>
              <w:top w:type="dxa" w:w="80"/>
              <w:left w:type="dxa" w:w="100"/>
              <w:bottom w:type="dxa" w:w="80"/>
              <w:right w:type="dxa" w:w="100"/>
            </w:tcMar>
            <w:vAlign w:val="center"/>
          </w:tcPr>
          <w:p>
            <w:pPr>
              <w:spacing w:after="0"/>
            </w:pPr>
            <w:r>
              <w:rPr>
                <w:b w:val="false"/>
                <w:bCs w:val="false"/>
                <w:sz w:val="20"/>
                <w:szCs w:val="20"/>
              </w:rPr>
              <w:t xml:space="preserve">NFR-10 treated as a hard requirement, with testing on representative low-end hardware before every release.</w:t>
            </w:r>
          </w:p>
        </w:tc>
      </w:tr>
      <w:tr>
        <w:tc>
          <w:tcPr>
            <w:tcW w:type="dxa" w:w="2400"/>
            <w:tcMar>
              <w:top w:type="dxa" w:w="80"/>
              <w:left w:type="dxa" w:w="100"/>
              <w:bottom w:type="dxa" w:w="80"/>
              <w:right w:type="dxa" w:w="100"/>
            </w:tcMar>
            <w:vAlign w:val="center"/>
          </w:tcPr>
          <w:p>
            <w:pPr>
              <w:spacing w:after="0"/>
            </w:pPr>
            <w:r>
              <w:rPr>
                <w:b w:val="false"/>
                <w:bCs w:val="false"/>
                <w:sz w:val="20"/>
                <w:szCs w:val="20"/>
              </w:rPr>
              <w:t xml:space="preserve">A multi-tenant data-isolation defect could expose one institution's student data to another.</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High</w:t>
            </w:r>
          </w:p>
        </w:tc>
        <w:tc>
          <w:tcPr>
            <w:tcW w:type="dxa" w:w="5226"/>
            <w:tcMar>
              <w:top w:type="dxa" w:w="80"/>
              <w:left w:type="dxa" w:w="100"/>
              <w:bottom w:type="dxa" w:w="80"/>
              <w:right w:type="dxa" w:w="100"/>
            </w:tcMar>
            <w:vAlign w:val="center"/>
          </w:tcPr>
          <w:p>
            <w:pPr>
              <w:spacing w:after="0"/>
            </w:pPr>
            <w:r>
              <w:rPr>
                <w:b w:val="false"/>
                <w:bCs w:val="false"/>
                <w:sz w:val="20"/>
                <w:szCs w:val="20"/>
              </w:rPr>
              <w:t xml:space="preserve">TEN-12 enforced at the data-access layer with automated cross-tenant isolation tests in CI, not relied on as convention alone.</w:t>
            </w:r>
          </w:p>
        </w:tc>
      </w:tr>
    </w:tbl>
    <w:p>
      <w:pPr>
        <w:pageBreakBefore/>
      </w:pPr>
      <w:r>
        <w:br/>
      </w:r>
    </w:p>
    <w:p>
      <w:pPr>
        <w:pStyle w:val="Heading1"/>
        <w:spacing w:after="160" w:before="360"/>
      </w:pPr>
      <w:r>
        <w:t xml:space="preserve">13. Success Metrics /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Metric</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What It Tells Us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Baseline completion rate</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 of an assigned cohort completing the baseline diagnostic within 2 weeks of assignment</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Resimulation depth</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Average resimulation attempts per student before placement season — the "attempt No. 15" thesis, measured</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Sub-score improvement</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Average change in fluency/latency/pronunciation sub-scores between attempt 1 and attempt 5+</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Outcome correlation (Season 2+)</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Correlation between platform readiness score and real assessment/placement outcome</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Tenant renewal rate</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 of tenants renewing at end of contract term</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Seat utilization</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Active students as a % of licensed seats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Platform reliability</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NFR-01/02/03 targets met in production</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Model governance discipline</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 of provider promotions that passed shadow-mode evaluation before going fully live</w:t>
            </w:r>
          </w:p>
        </w:tc>
      </w:tr>
    </w:tbl>
    <w:p>
      <w:pPr>
        <w:pageBreakBefore/>
      </w:pPr>
      <w:r>
        <w:br/>
      </w:r>
    </w:p>
    <w:p>
      <w:pPr>
        <w:pStyle w:val="Heading1"/>
        <w:spacing w:after="160" w:before="360"/>
      </w:pPr>
      <w:r>
        <w:t xml:space="preserve">14. Release Phasing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val="clear"/>
            <w:tcMar>
              <w:top w:type="dxa" w:w="80"/>
              <w:left w:type="dxa" w:w="100"/>
              <w:bottom w:type="dxa" w:w="80"/>
              <w:right w:type="dxa" w:w="100"/>
            </w:tcMar>
            <w:vAlign w:val="center"/>
          </w:tcPr>
          <w:p>
            <w:pPr>
              <w:spacing w:after="0"/>
            </w:pPr>
            <w:r>
              <w:rPr>
                <w:b/>
                <w:bCs/>
                <w:sz w:val="20"/>
                <w:szCs w:val="20"/>
              </w:rPr>
              <w:t xml:space="preserve">Phase</w:t>
            </w:r>
          </w:p>
        </w:tc>
        <w:tc>
          <w:tcPr>
            <w:tcW w:type="dxa" w:w="6826"/>
            <w:shd w:fill="D9D9D9" w:val="clear"/>
            <w:tcMar>
              <w:top w:type="dxa" w:w="80"/>
              <w:left w:type="dxa" w:w="100"/>
              <w:bottom w:type="dxa" w:w="80"/>
              <w:right w:type="dxa" w:w="100"/>
            </w:tcMar>
            <w:vAlign w:val="center"/>
          </w:tcPr>
          <w:p>
            <w:pPr>
              <w:spacing w:after="0"/>
            </w:pPr>
            <w:r>
              <w:rPr>
                <w:b/>
                <w:bCs/>
                <w:sz w:val="20"/>
                <w:szCs w:val="20"/>
              </w:rPr>
              <w:t xml:space="preserve">Scope</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Phase 1 — Core MVP</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Platform Admin (tenant CRUD, basic plan/billing); Tenant Admin (onboarding, user import, cohorts, assignment); Student app covering 2–3 task types on an in-house ASR + VAD + feature-based fluency pipeline, basic diagnosis screen, and drill loop v1; the Provider Abstraction Layer built now (ENG-16–19), not deferred; DPDP consent flow; tenant-safe multi-tenancy from day one.</w:t>
            </w:r>
          </w:p>
        </w:tc>
      </w:tr>
      <w:tr>
        <w:tc>
          <w:tcPr>
            <w:tcW w:type="dxa" w:w="2200"/>
            <w:shd w:fill="F2F2F2" w:val="clear"/>
            <w:tcMar>
              <w:top w:type="dxa" w:w="80"/>
              <w:left w:type="dxa" w:w="100"/>
              <w:bottom w:type="dxa" w:w="80"/>
              <w:right w:type="dxa" w:w="100"/>
            </w:tcMar>
            <w:vAlign w:val="center"/>
          </w:tcPr>
          <w:p>
            <w:pPr>
              <w:spacing w:after="0"/>
            </w:pPr>
            <w:r>
              <w:rPr>
                <w:b w:val="false"/>
                <w:bCs w:val="false"/>
                <w:sz w:val="20"/>
                <w:szCs w:val="20"/>
              </w:rPr>
              <w:t xml:space="preserve">Phase 2 — Depth</w:t>
            </w:r>
          </w:p>
        </w:tc>
        <w:tc>
          <w:tcPr>
            <w:tcW w:type="dxa" w:w="6826"/>
            <w:shd w:fill="F2F2F2" w:val="clear"/>
            <w:tcMar>
              <w:top w:type="dxa" w:w="80"/>
              <w:left w:type="dxa" w:w="100"/>
              <w:bottom w:type="dxa" w:w="80"/>
              <w:right w:type="dxa" w:w="100"/>
            </w:tcMar>
            <w:vAlign w:val="center"/>
          </w:tcPr>
          <w:p>
            <w:pPr>
              <w:spacing w:after="0"/>
            </w:pPr>
            <w:r>
              <w:rPr>
                <w:b w:val="false"/>
                <w:bCs w:val="false"/>
                <w:sz w:val="20"/>
                <w:szCs w:val="20"/>
              </w:rPr>
              <w:t xml:space="preserve">Full 6-task-type coverage; IRT item calibration; BKT mastery tracking; tenant self-service branding/SSO; cross-tenant analytics; shadow-mode/canary provider tooling live; multi-channel notifications.</w:t>
            </w:r>
          </w:p>
        </w:tc>
      </w:tr>
      <w:tr>
        <w:tc>
          <w:tcPr>
            <w:tcW w:type="dxa" w:w="2200"/>
            <w:tcMar>
              <w:top w:type="dxa" w:w="80"/>
              <w:left w:type="dxa" w:w="100"/>
              <w:bottom w:type="dxa" w:w="80"/>
              <w:right w:type="dxa" w:w="100"/>
            </w:tcMar>
            <w:vAlign w:val="center"/>
          </w:tcPr>
          <w:p>
            <w:pPr>
              <w:spacing w:after="0"/>
            </w:pPr>
            <w:r>
              <w:rPr>
                <w:b w:val="false"/>
                <w:bCs w:val="false"/>
                <w:sz w:val="20"/>
                <w:szCs w:val="20"/>
              </w:rPr>
              <w:t xml:space="preserve">Phase 3 — Moat</w:t>
            </w:r>
          </w:p>
        </w:tc>
        <w:tc>
          <w:tcPr>
            <w:tcW w:type="dxa" w:w="6826"/>
            <w:tcMar>
              <w:top w:type="dxa" w:w="80"/>
              <w:left w:type="dxa" w:w="100"/>
              <w:bottom w:type="dxa" w:w="80"/>
              <w:right w:type="dxa" w:w="100"/>
            </w:tcMar>
            <w:vAlign w:val="center"/>
          </w:tcPr>
          <w:p>
            <w:pPr>
              <w:spacing w:after="0"/>
            </w:pPr>
            <w:r>
              <w:rPr>
                <w:b w:val="false"/>
                <w:bCs w:val="false"/>
                <w:sz w:val="20"/>
                <w:szCs w:val="20"/>
              </w:rPr>
              <w:t xml:space="preserve">Intelligibility model (ENG-07) live, pending labelling-program maturity; adaptive item selection; calibrated outcome prediction (ENG-15) once the minimum paired-record gate is met; third-party provider adapters activated for any capability where in-house has not yet caught up; provider-marketplace concept; mobile app.</w:t>
            </w:r>
          </w:p>
        </w:tc>
      </w:tr>
    </w:tbl>
    <w:p>
      <w:pPr>
        <w:spacing w:after="200"/>
      </w:pPr>
    </w:p>
    <w:p>
      <w:pPr>
        <w:spacing w:after="160" w:line="276"/>
        <w:jc w:val="left"/>
      </w:pPr>
      <w:r>
        <w:rPr>
          <w:b w:val="false"/>
          <w:bCs w:val="false"/>
          <w:i/>
          <w:iCs/>
        </w:rPr>
        <w:t xml:space="preserve">A direct note on sequencing: building the engine in-house first, with third-party providers deferred, is a deliberate strategic choice here — not a technical necessity — and it will extend the MVP timeline relative to a vendor-assisted build. That trade-off is exactly why the Provider Abstraction Layer is specified as a Phase 1 requirement rather than a Phase 3 nice-to-have: it is what makes "defer third-party for now" a reversible decision, per capability, per tenant, at any point, rather than a one-way door.</w:t>
      </w:r>
    </w:p>
    <w:p>
      <w:pPr>
        <w:pageBreakBefore/>
      </w:pPr>
      <w:r>
        <w:br/>
      </w:r>
    </w:p>
    <w:p>
      <w:pPr>
        <w:pStyle w:val="Heading1"/>
        <w:spacing w:after="160" w:before="360"/>
      </w:pPr>
      <w:r>
        <w:t xml:space="preserve">15. Acceptance Criteria</w:t>
      </w:r>
    </w:p>
    <w:p>
      <w:pPr>
        <w:spacing w:after="160" w:line="276"/>
        <w:jc w:val="left"/>
      </w:pPr>
      <w:r>
        <w:rPr>
          <w:b w:val="false"/>
          <w:bCs w:val="false"/>
          <w:i w:val="false"/>
          <w:iCs w:val="false"/>
        </w:rPr>
        <w:t xml:space="preserve">High-level Definition-of-Done gates for Phase 1. Detailed test cases are derived from these during engineering design.</w:t>
      </w:r>
    </w:p>
    <w:p>
      <w:pPr>
        <w:pStyle w:val="ListParagraph"/>
        <w:numPr>
          <w:ilvl w:val="0"/>
          <w:numId w:val="2"/>
        </w:numPr>
        <w:spacing w:after="80" w:line="276"/>
      </w:pPr>
      <w:r>
        <w:t xml:space="preserve">A Platform Super Admin can onboard a new tenant, assign a plan, and have that tenant's Admin logged in and importing students within one working session, with no engineering involvement.</w:t>
      </w:r>
    </w:p>
    <w:p>
      <w:pPr>
        <w:pStyle w:val="ListParagraph"/>
        <w:numPr>
          <w:ilvl w:val="0"/>
          <w:numId w:val="2"/>
        </w:numPr>
        <w:spacing w:after="80" w:line="276"/>
      </w:pPr>
      <w:r>
        <w:t xml:space="preserve">A Platform Super Admin can switch the active provider for any single capability (e.g., ASR) for one named tenant, and confirm via the audit log that the switch took effect with no code deployment.</w:t>
      </w:r>
    </w:p>
    <w:p>
      <w:pPr>
        <w:pStyle w:val="ListParagraph"/>
        <w:numPr>
          <w:ilvl w:val="0"/>
          <w:numId w:val="2"/>
        </w:numPr>
        <w:spacing w:after="80" w:line="276"/>
      </w:pPr>
      <w:r>
        <w:t xml:space="preserve">A student can complete a full simulation attempt (Read Aloud or Repeat Sentence), including one-shot audio capture and countdown/no-replay enforcement, and see a sub-score breakdown within the NFR-01 latency budget.</w:t>
      </w:r>
    </w:p>
    <w:p>
      <w:pPr>
        <w:pStyle w:val="ListParagraph"/>
        <w:numPr>
          <w:ilvl w:val="0"/>
          <w:numId w:val="2"/>
        </w:numPr>
        <w:spacing w:after="80" w:line="276"/>
      </w:pPr>
      <w:r>
        <w:t xml:space="preserve">A Tenant Admin can view a cohort readiness dashboard reflecting real attempt data for their own tenant only, with cross-tenant isolation independently verified.</w:t>
      </w:r>
    </w:p>
    <w:p>
      <w:pPr>
        <w:pStyle w:val="ListParagraph"/>
        <w:numPr>
          <w:ilvl w:val="0"/>
          <w:numId w:val="2"/>
        </w:numPr>
        <w:spacing w:after="80" w:line="276"/>
      </w:pPr>
      <w:r>
        <w:t xml:space="preserve">A student's consent is captured before their first recording, is retrievable, and a data-deletion request is fulfilled within the committed timeframe.</w:t>
      </w:r>
    </w:p>
    <w:p>
      <w:pPr>
        <w:pStyle w:val="ListParagraph"/>
        <w:numPr>
          <w:ilvl w:val="0"/>
          <w:numId w:val="2"/>
        </w:numPr>
        <w:spacing w:after="80" w:line="276"/>
      </w:pPr>
      <w:r>
        <w:t xml:space="preserve">An invoice is generated automatically at the end of a billing cycle for at least one live tenant, matching the assigned plan terms.</w:t>
      </w:r>
    </w:p>
    <w:p>
      <w:pPr>
        <w:pStyle w:val="ListParagraph"/>
        <w:numPr>
          <w:ilvl w:val="0"/>
          <w:numId w:val="2"/>
        </w:numPr>
        <w:spacing w:after="80" w:line="276"/>
      </w:pPr>
      <w:r>
        <w:t xml:space="preserve">A new provider can be registered for an existing capability, run in shadow mode against production traffic, and compared against the live provider's output — without any change to student-facing code.</w:t>
      </w:r>
    </w:p>
    <w:p>
      <w:pPr>
        <w:pStyle w:val="ListParagraph"/>
        <w:numPr>
          <w:ilvl w:val="0"/>
          <w:numId w:val="2"/>
        </w:numPr>
        <w:spacing w:after="80" w:line="276"/>
      </w:pPr>
      <w:r>
        <w:t xml:space="preserve">The full Phase 1 student flow functions on a representative budget Android device over a throttled 3G-equivalent connection.</w:t>
      </w:r>
    </w:p>
    <w:p>
      <w:pPr>
        <w:pageBreakBefore/>
      </w:pPr>
      <w:r>
        <w:br/>
      </w:r>
    </w:p>
    <w:p>
      <w:pPr>
        <w:pStyle w:val="Heading1"/>
        <w:spacing w:after="160" w:before="360"/>
      </w:pPr>
      <w:r>
        <w:t xml:space="preserve">16. Appendix</w:t>
      </w:r>
    </w:p>
    <w:p>
      <w:pPr>
        <w:pStyle w:val="Heading2"/>
        <w:spacing w:after="120" w:before="280"/>
      </w:pPr>
      <w:r>
        <w:t xml:space="preserve">16.1 RACI Matrix — Key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50"/>
        <w:gridCol w:w="1350"/>
        <w:gridCol w:w="1226"/>
        <w:gridCol w:w="1000"/>
        <w:gridCol w:w="1400"/>
      </w:tblGrid>
      <w:tr>
        <w:trPr>
          <w:tblHeader/>
        </w:trPr>
        <w:tc>
          <w:tcPr>
            <w:tcW w:type="dxa" w:w="2700"/>
            <w:shd w:fill="D9D9D9" w:val="clear"/>
            <w:tcMar>
              <w:top w:type="dxa" w:w="80"/>
              <w:left w:type="dxa" w:w="100"/>
              <w:bottom w:type="dxa" w:w="80"/>
              <w:right w:type="dxa" w:w="100"/>
            </w:tcMar>
            <w:vAlign w:val="center"/>
          </w:tcPr>
          <w:p>
            <w:pPr>
              <w:spacing w:after="0"/>
            </w:pPr>
            <w:r>
              <w:rPr>
                <w:b/>
                <w:bCs/>
                <w:sz w:val="20"/>
                <w:szCs w:val="20"/>
              </w:rPr>
              <w:t xml:space="preserve">Activity</w:t>
            </w:r>
          </w:p>
        </w:tc>
        <w:tc>
          <w:tcPr>
            <w:tcW w:type="dxa" w:w="1350"/>
            <w:shd w:fill="D9D9D9" w:val="clear"/>
            <w:tcMar>
              <w:top w:type="dxa" w:w="80"/>
              <w:left w:type="dxa" w:w="100"/>
              <w:bottom w:type="dxa" w:w="80"/>
              <w:right w:type="dxa" w:w="100"/>
            </w:tcMar>
            <w:vAlign w:val="center"/>
          </w:tcPr>
          <w:p>
            <w:pPr>
              <w:spacing w:after="0"/>
            </w:pPr>
            <w:r>
              <w:rPr>
                <w:b/>
                <w:bCs/>
                <w:sz w:val="20"/>
                <w:szCs w:val="20"/>
              </w:rPr>
              <w:t xml:space="preserve">Platform Team</w:t>
            </w:r>
          </w:p>
        </w:tc>
        <w:tc>
          <w:tcPr>
            <w:tcW w:type="dxa" w:w="1350"/>
            <w:shd w:fill="D9D9D9" w:val="clear"/>
            <w:tcMar>
              <w:top w:type="dxa" w:w="80"/>
              <w:left w:type="dxa" w:w="100"/>
              <w:bottom w:type="dxa" w:w="80"/>
              <w:right w:type="dxa" w:w="100"/>
            </w:tcMar>
            <w:vAlign w:val="center"/>
          </w:tcPr>
          <w:p>
            <w:pPr>
              <w:spacing w:after="0"/>
            </w:pPr>
            <w:r>
              <w:rPr>
                <w:b/>
                <w:bCs/>
                <w:sz w:val="20"/>
                <w:szCs w:val="20"/>
              </w:rPr>
              <w:t xml:space="preserve">Tenant Admin</w:t>
            </w:r>
          </w:p>
        </w:tc>
        <w:tc>
          <w:tcPr>
            <w:tcW w:type="dxa" w:w="1226"/>
            <w:shd w:fill="D9D9D9" w:val="clear"/>
            <w:tcMar>
              <w:top w:type="dxa" w:w="80"/>
              <w:left w:type="dxa" w:w="100"/>
              <w:bottom w:type="dxa" w:w="80"/>
              <w:right w:type="dxa" w:w="100"/>
            </w:tcMar>
            <w:vAlign w:val="center"/>
          </w:tcPr>
          <w:p>
            <w:pPr>
              <w:spacing w:after="0"/>
            </w:pPr>
            <w:r>
              <w:rPr>
                <w:b/>
                <w:bCs/>
                <w:sz w:val="20"/>
                <w:szCs w:val="20"/>
              </w:rPr>
              <w:t xml:space="preserve">Trainer</w:t>
            </w:r>
          </w:p>
        </w:tc>
        <w:tc>
          <w:tcPr>
            <w:tcW w:type="dxa" w:w="1000"/>
            <w:shd w:fill="D9D9D9" w:val="clear"/>
            <w:tcMar>
              <w:top w:type="dxa" w:w="80"/>
              <w:left w:type="dxa" w:w="100"/>
              <w:bottom w:type="dxa" w:w="80"/>
              <w:right w:type="dxa" w:w="100"/>
            </w:tcMar>
            <w:vAlign w:val="center"/>
          </w:tcPr>
          <w:p>
            <w:pPr>
              <w:spacing w:after="0"/>
            </w:pPr>
            <w:r>
              <w:rPr>
                <w:b/>
                <w:bCs/>
                <w:sz w:val="20"/>
                <w:szCs w:val="20"/>
              </w:rPr>
              <w:t xml:space="preserve">Student</w:t>
            </w:r>
          </w:p>
        </w:tc>
        <w:tc>
          <w:tcPr>
            <w:tcW w:type="dxa" w:w="1400"/>
            <w:shd w:fill="D9D9D9" w:val="clear"/>
            <w:tcMar>
              <w:top w:type="dxa" w:w="80"/>
              <w:left w:type="dxa" w:w="100"/>
              <w:bottom w:type="dxa" w:w="80"/>
              <w:right w:type="dxa" w:w="100"/>
            </w:tcMar>
            <w:vAlign w:val="center"/>
          </w:tcPr>
          <w:p>
            <w:pPr>
              <w:spacing w:after="0"/>
            </w:pPr>
            <w:r>
              <w:rPr>
                <w:b/>
                <w:bCs/>
                <w:sz w:val="20"/>
                <w:szCs w:val="20"/>
              </w:rPr>
              <w:t xml:space="preserve">Compliance</w:t>
            </w:r>
          </w:p>
        </w:tc>
      </w:tr>
      <w:tr>
        <w:tc>
          <w:tcPr>
            <w:tcW w:type="dxa" w:w="2700"/>
            <w:tcMar>
              <w:top w:type="dxa" w:w="80"/>
              <w:left w:type="dxa" w:w="100"/>
              <w:bottom w:type="dxa" w:w="80"/>
              <w:right w:type="dxa" w:w="100"/>
            </w:tcMar>
            <w:vAlign w:val="center"/>
          </w:tcPr>
          <w:p>
            <w:pPr>
              <w:spacing w:after="0"/>
            </w:pPr>
            <w:r>
              <w:rPr>
                <w:b w:val="false"/>
                <w:bCs w:val="false"/>
                <w:sz w:val="20"/>
                <w:szCs w:val="20"/>
              </w:rPr>
              <w:t xml:space="preserve">Tenant onboarding</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A/R</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C</w:t>
            </w:r>
          </w:p>
        </w:tc>
        <w:tc>
          <w:tcPr>
            <w:tcW w:type="dxa" w:w="1226"/>
            <w:tcMar>
              <w:top w:type="dxa" w:w="80"/>
              <w:left w:type="dxa" w:w="100"/>
              <w:bottom w:type="dxa" w:w="80"/>
              <w:right w:type="dxa" w:w="100"/>
            </w:tcMar>
            <w:vAlign w:val="center"/>
          </w:tcPr>
          <w:p>
            <w:pPr>
              <w:spacing w:after="0"/>
            </w:pPr>
            <w:r>
              <w:rPr>
                <w:b w:val="false"/>
                <w:bCs w:val="false"/>
                <w:sz w:val="20"/>
                <w:szCs w:val="20"/>
              </w:rPr>
              <w:t xml:space="preserve">—</w:t>
            </w:r>
          </w:p>
        </w:tc>
        <w:tc>
          <w:tcPr>
            <w:tcW w:type="dxa" w:w="1000"/>
            <w:tcMar>
              <w:top w:type="dxa" w:w="80"/>
              <w:left w:type="dxa" w:w="100"/>
              <w:bottom w:type="dxa" w:w="80"/>
              <w:right w:type="dxa" w:w="100"/>
            </w:tcMar>
            <w:vAlign w:val="center"/>
          </w:tcPr>
          <w:p>
            <w:pPr>
              <w:spacing w:after="0"/>
            </w:pPr>
            <w:r>
              <w:rPr>
                <w:b w:val="false"/>
                <w:bCs w:val="false"/>
                <w:sz w:val="20"/>
                <w:szCs w:val="20"/>
              </w:rPr>
              <w:t xml:space="preserve">—</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I</w:t>
            </w:r>
          </w:p>
        </w:tc>
      </w:tr>
      <w:tr>
        <w:tc>
          <w:tcPr>
            <w:tcW w:type="dxa" w:w="2700"/>
            <w:shd w:fill="F2F2F2" w:val="clear"/>
            <w:tcMar>
              <w:top w:type="dxa" w:w="80"/>
              <w:left w:type="dxa" w:w="100"/>
              <w:bottom w:type="dxa" w:w="80"/>
              <w:right w:type="dxa" w:w="100"/>
            </w:tcMar>
            <w:vAlign w:val="center"/>
          </w:tcPr>
          <w:p>
            <w:pPr>
              <w:spacing w:after="0"/>
            </w:pPr>
            <w:r>
              <w:rPr>
                <w:b w:val="false"/>
                <w:bCs w:val="false"/>
                <w:sz w:val="20"/>
                <w:szCs w:val="20"/>
              </w:rPr>
              <w:t xml:space="preserve">Pricing &amp; plan changes</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A/R</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C</w:t>
            </w:r>
          </w:p>
        </w:tc>
        <w:tc>
          <w:tcPr>
            <w:tcW w:type="dxa" w:w="1226"/>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400"/>
            <w:shd w:fill="F2F2F2" w:val="clear"/>
            <w:tcMar>
              <w:top w:type="dxa" w:w="80"/>
              <w:left w:type="dxa" w:w="100"/>
              <w:bottom w:type="dxa" w:w="80"/>
              <w:right w:type="dxa" w:w="100"/>
            </w:tcMar>
            <w:vAlign w:val="center"/>
          </w:tcPr>
          <w:p>
            <w:pPr>
              <w:spacing w:after="0"/>
            </w:pPr>
            <w:r>
              <w:rPr>
                <w:b w:val="false"/>
                <w:bCs w:val="false"/>
                <w:sz w:val="20"/>
                <w:szCs w:val="20"/>
              </w:rPr>
              <w:t xml:space="preserve">I</w:t>
            </w:r>
          </w:p>
        </w:tc>
      </w:tr>
      <w:tr>
        <w:tc>
          <w:tcPr>
            <w:tcW w:type="dxa" w:w="2700"/>
            <w:tcMar>
              <w:top w:type="dxa" w:w="80"/>
              <w:left w:type="dxa" w:w="100"/>
              <w:bottom w:type="dxa" w:w="80"/>
              <w:right w:type="dxa" w:w="100"/>
            </w:tcMar>
            <w:vAlign w:val="center"/>
          </w:tcPr>
          <w:p>
            <w:pPr>
              <w:spacing w:after="0"/>
            </w:pPr>
            <w:r>
              <w:rPr>
                <w:b w:val="false"/>
                <w:bCs w:val="false"/>
                <w:sz w:val="20"/>
                <w:szCs w:val="20"/>
              </w:rPr>
              <w:t xml:space="preserve">Provider (AI/payment/notification) switch</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A/R</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I</w:t>
            </w:r>
          </w:p>
        </w:tc>
        <w:tc>
          <w:tcPr>
            <w:tcW w:type="dxa" w:w="1226"/>
            <w:tcMar>
              <w:top w:type="dxa" w:w="80"/>
              <w:left w:type="dxa" w:w="100"/>
              <w:bottom w:type="dxa" w:w="80"/>
              <w:right w:type="dxa" w:w="100"/>
            </w:tcMar>
            <w:vAlign w:val="center"/>
          </w:tcPr>
          <w:p>
            <w:pPr>
              <w:spacing w:after="0"/>
            </w:pPr>
            <w:r>
              <w:rPr>
                <w:b w:val="false"/>
                <w:bCs w:val="false"/>
                <w:sz w:val="20"/>
                <w:szCs w:val="20"/>
              </w:rPr>
              <w:t xml:space="preserve">—</w:t>
            </w:r>
          </w:p>
        </w:tc>
        <w:tc>
          <w:tcPr>
            <w:tcW w:type="dxa" w:w="1000"/>
            <w:tcMar>
              <w:top w:type="dxa" w:w="80"/>
              <w:left w:type="dxa" w:w="100"/>
              <w:bottom w:type="dxa" w:w="80"/>
              <w:right w:type="dxa" w:w="100"/>
            </w:tcMar>
            <w:vAlign w:val="center"/>
          </w:tcPr>
          <w:p>
            <w:pPr>
              <w:spacing w:after="0"/>
            </w:pPr>
            <w:r>
              <w:rPr>
                <w:b w:val="false"/>
                <w:bCs w:val="false"/>
                <w:sz w:val="20"/>
                <w:szCs w:val="20"/>
              </w:rPr>
              <w:t xml:space="preserve">—</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C</w:t>
            </w:r>
          </w:p>
        </w:tc>
      </w:tr>
      <w:tr>
        <w:tc>
          <w:tcPr>
            <w:tcW w:type="dxa" w:w="2700"/>
            <w:shd w:fill="F2F2F2" w:val="clear"/>
            <w:tcMar>
              <w:top w:type="dxa" w:w="80"/>
              <w:left w:type="dxa" w:w="100"/>
              <w:bottom w:type="dxa" w:w="80"/>
              <w:right w:type="dxa" w:w="100"/>
            </w:tcMar>
            <w:vAlign w:val="center"/>
          </w:tcPr>
          <w:p>
            <w:pPr>
              <w:spacing w:after="0"/>
            </w:pPr>
            <w:r>
              <w:rPr>
                <w:b w:val="false"/>
                <w:bCs w:val="false"/>
                <w:sz w:val="20"/>
                <w:szCs w:val="20"/>
              </w:rPr>
              <w:t xml:space="preserve">Simulation profile publishing</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A/R</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C</w:t>
            </w:r>
          </w:p>
        </w:tc>
        <w:tc>
          <w:tcPr>
            <w:tcW w:type="dxa" w:w="1226"/>
            <w:shd w:fill="F2F2F2" w:val="clear"/>
            <w:tcMar>
              <w:top w:type="dxa" w:w="80"/>
              <w:left w:type="dxa" w:w="100"/>
              <w:bottom w:type="dxa" w:w="80"/>
              <w:right w:type="dxa" w:w="100"/>
            </w:tcMar>
            <w:vAlign w:val="center"/>
          </w:tcPr>
          <w:p>
            <w:pPr>
              <w:spacing w:after="0"/>
            </w:pPr>
            <w:r>
              <w:rPr>
                <w:b w:val="false"/>
                <w:bCs w:val="false"/>
                <w:sz w:val="20"/>
                <w:szCs w:val="20"/>
              </w:rPr>
              <w:t xml:space="preserve">I</w:t>
            </w:r>
          </w:p>
        </w:tc>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400"/>
            <w:shd w:fill="F2F2F2" w:val="clear"/>
            <w:tcMar>
              <w:top w:type="dxa" w:w="80"/>
              <w:left w:type="dxa" w:w="100"/>
              <w:bottom w:type="dxa" w:w="80"/>
              <w:right w:type="dxa" w:w="100"/>
            </w:tcMar>
            <w:vAlign w:val="center"/>
          </w:tcPr>
          <w:p>
            <w:pPr>
              <w:spacing w:after="0"/>
            </w:pPr>
            <w:r>
              <w:rPr>
                <w:b w:val="false"/>
                <w:bCs w:val="false"/>
                <w:sz w:val="20"/>
                <w:szCs w:val="20"/>
              </w:rPr>
              <w:t xml:space="preserve">C</w:t>
            </w:r>
          </w:p>
        </w:tc>
      </w:tr>
      <w:tr>
        <w:tc>
          <w:tcPr>
            <w:tcW w:type="dxa" w:w="2700"/>
            <w:tcMar>
              <w:top w:type="dxa" w:w="80"/>
              <w:left w:type="dxa" w:w="100"/>
              <w:bottom w:type="dxa" w:w="80"/>
              <w:right w:type="dxa" w:w="100"/>
            </w:tcMar>
            <w:vAlign w:val="center"/>
          </w:tcPr>
          <w:p>
            <w:pPr>
              <w:spacing w:after="0"/>
            </w:pPr>
            <w:r>
              <w:rPr>
                <w:b w:val="false"/>
                <w:bCs w:val="false"/>
                <w:sz w:val="20"/>
                <w:szCs w:val="20"/>
              </w:rPr>
              <w:t xml:space="preserve">Cohort setup &amp; assignment</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I</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A/R</w:t>
            </w:r>
          </w:p>
        </w:tc>
        <w:tc>
          <w:tcPr>
            <w:tcW w:type="dxa" w:w="1226"/>
            <w:tcMar>
              <w:top w:type="dxa" w:w="80"/>
              <w:left w:type="dxa" w:w="100"/>
              <w:bottom w:type="dxa" w:w="80"/>
              <w:right w:type="dxa" w:w="100"/>
            </w:tcMar>
            <w:vAlign w:val="center"/>
          </w:tcPr>
          <w:p>
            <w:pPr>
              <w:spacing w:after="0"/>
            </w:pPr>
            <w:r>
              <w:rPr>
                <w:b w:val="false"/>
                <w:bCs w:val="false"/>
                <w:sz w:val="20"/>
                <w:szCs w:val="20"/>
              </w:rPr>
              <w:t xml:space="preserve">R</w:t>
            </w:r>
          </w:p>
        </w:tc>
        <w:tc>
          <w:tcPr>
            <w:tcW w:type="dxa" w:w="1000"/>
            <w:tcMar>
              <w:top w:type="dxa" w:w="80"/>
              <w:left w:type="dxa" w:w="100"/>
              <w:bottom w:type="dxa" w:w="80"/>
              <w:right w:type="dxa" w:w="100"/>
            </w:tcMar>
            <w:vAlign w:val="center"/>
          </w:tcPr>
          <w:p>
            <w:pPr>
              <w:spacing w:after="0"/>
            </w:pPr>
            <w:r>
              <w:rPr>
                <w:b w:val="false"/>
                <w:bCs w:val="false"/>
                <w:sz w:val="20"/>
                <w:szCs w:val="20"/>
              </w:rPr>
              <w:t xml:space="preserve">—</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w:t>
            </w:r>
          </w:p>
        </w:tc>
      </w:tr>
      <w:tr>
        <w:tc>
          <w:tcPr>
            <w:tcW w:type="dxa" w:w="2700"/>
            <w:shd w:fill="F2F2F2" w:val="clear"/>
            <w:tcMar>
              <w:top w:type="dxa" w:w="80"/>
              <w:left w:type="dxa" w:w="100"/>
              <w:bottom w:type="dxa" w:w="80"/>
              <w:right w:type="dxa" w:w="100"/>
            </w:tcMar>
            <w:vAlign w:val="center"/>
          </w:tcPr>
          <w:p>
            <w:pPr>
              <w:spacing w:after="0"/>
            </w:pPr>
            <w:r>
              <w:rPr>
                <w:b w:val="false"/>
                <w:bCs w:val="false"/>
                <w:sz w:val="20"/>
                <w:szCs w:val="20"/>
              </w:rPr>
              <w:t xml:space="preserve">Student consent capture</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A</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I</w:t>
            </w:r>
          </w:p>
        </w:tc>
        <w:tc>
          <w:tcPr>
            <w:tcW w:type="dxa" w:w="1226"/>
            <w:shd w:fill="F2F2F2" w:val="clear"/>
            <w:tcMar>
              <w:top w:type="dxa" w:w="80"/>
              <w:left w:type="dxa" w:w="100"/>
              <w:bottom w:type="dxa" w:w="80"/>
              <w:right w:type="dxa" w:w="100"/>
            </w:tcMar>
            <w:vAlign w:val="center"/>
          </w:tcPr>
          <w:p>
            <w:pPr>
              <w:spacing w:after="0"/>
            </w:pPr>
            <w:r>
              <w:rPr>
                <w:b w:val="false"/>
                <w:bCs w:val="false"/>
                <w:sz w:val="20"/>
                <w:szCs w:val="20"/>
              </w:rPr>
              <w:t xml:space="preserve">I</w:t>
            </w:r>
          </w:p>
        </w:tc>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R</w:t>
            </w:r>
          </w:p>
        </w:tc>
        <w:tc>
          <w:tcPr>
            <w:tcW w:type="dxa" w:w="1400"/>
            <w:shd w:fill="F2F2F2" w:val="clear"/>
            <w:tcMar>
              <w:top w:type="dxa" w:w="80"/>
              <w:left w:type="dxa" w:w="100"/>
              <w:bottom w:type="dxa" w:w="80"/>
              <w:right w:type="dxa" w:w="100"/>
            </w:tcMar>
            <w:vAlign w:val="center"/>
          </w:tcPr>
          <w:p>
            <w:pPr>
              <w:spacing w:after="0"/>
            </w:pPr>
            <w:r>
              <w:rPr>
                <w:b w:val="false"/>
                <w:bCs w:val="false"/>
                <w:sz w:val="20"/>
                <w:szCs w:val="20"/>
              </w:rPr>
              <w:t xml:space="preserve">C</w:t>
            </w:r>
          </w:p>
        </w:tc>
      </w:tr>
      <w:tr>
        <w:tc>
          <w:tcPr>
            <w:tcW w:type="dxa" w:w="2700"/>
            <w:tcMar>
              <w:top w:type="dxa" w:w="80"/>
              <w:left w:type="dxa" w:w="100"/>
              <w:bottom w:type="dxa" w:w="80"/>
              <w:right w:type="dxa" w:w="100"/>
            </w:tcMar>
            <w:vAlign w:val="center"/>
          </w:tcPr>
          <w:p>
            <w:pPr>
              <w:spacing w:after="0"/>
            </w:pPr>
            <w:r>
              <w:rPr>
                <w:b w:val="false"/>
                <w:bCs w:val="false"/>
                <w:sz w:val="20"/>
                <w:szCs w:val="20"/>
              </w:rPr>
              <w:t xml:space="preserve">Data deletion request handling</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A/R</w:t>
            </w:r>
          </w:p>
        </w:tc>
        <w:tc>
          <w:tcPr>
            <w:tcW w:type="dxa" w:w="1350"/>
            <w:tcMar>
              <w:top w:type="dxa" w:w="80"/>
              <w:left w:type="dxa" w:w="100"/>
              <w:bottom w:type="dxa" w:w="80"/>
              <w:right w:type="dxa" w:w="100"/>
            </w:tcMar>
            <w:vAlign w:val="center"/>
          </w:tcPr>
          <w:p>
            <w:pPr>
              <w:spacing w:after="0"/>
            </w:pPr>
            <w:r>
              <w:rPr>
                <w:b w:val="false"/>
                <w:bCs w:val="false"/>
                <w:sz w:val="20"/>
                <w:szCs w:val="20"/>
              </w:rPr>
              <w:t xml:space="preserve">I</w:t>
            </w:r>
          </w:p>
        </w:tc>
        <w:tc>
          <w:tcPr>
            <w:tcW w:type="dxa" w:w="1226"/>
            <w:tcMar>
              <w:top w:type="dxa" w:w="80"/>
              <w:left w:type="dxa" w:w="100"/>
              <w:bottom w:type="dxa" w:w="80"/>
              <w:right w:type="dxa" w:w="100"/>
            </w:tcMar>
            <w:vAlign w:val="center"/>
          </w:tcPr>
          <w:p>
            <w:pPr>
              <w:spacing w:after="0"/>
            </w:pPr>
            <w:r>
              <w:rPr>
                <w:b w:val="false"/>
                <w:bCs w:val="false"/>
                <w:sz w:val="20"/>
                <w:szCs w:val="20"/>
              </w:rPr>
              <w:t xml:space="preserve">—</w:t>
            </w:r>
          </w:p>
        </w:tc>
        <w:tc>
          <w:tcPr>
            <w:tcW w:type="dxa" w:w="1000"/>
            <w:tcMar>
              <w:top w:type="dxa" w:w="80"/>
              <w:left w:type="dxa" w:w="100"/>
              <w:bottom w:type="dxa" w:w="80"/>
              <w:right w:type="dxa" w:w="100"/>
            </w:tcMar>
            <w:vAlign w:val="center"/>
          </w:tcPr>
          <w:p>
            <w:pPr>
              <w:spacing w:after="0"/>
            </w:pPr>
            <w:r>
              <w:rPr>
                <w:b w:val="false"/>
                <w:bCs w:val="false"/>
                <w:sz w:val="20"/>
                <w:szCs w:val="20"/>
              </w:rPr>
              <w:t xml:space="preserve">R (requester)</w:t>
            </w:r>
          </w:p>
        </w:tc>
        <w:tc>
          <w:tcPr>
            <w:tcW w:type="dxa" w:w="1400"/>
            <w:tcMar>
              <w:top w:type="dxa" w:w="80"/>
              <w:left w:type="dxa" w:w="100"/>
              <w:bottom w:type="dxa" w:w="80"/>
              <w:right w:type="dxa" w:w="100"/>
            </w:tcMar>
            <w:vAlign w:val="center"/>
          </w:tcPr>
          <w:p>
            <w:pPr>
              <w:spacing w:after="0"/>
            </w:pPr>
            <w:r>
              <w:rPr>
                <w:b w:val="false"/>
                <w:bCs w:val="false"/>
                <w:sz w:val="20"/>
                <w:szCs w:val="20"/>
              </w:rPr>
              <w:t xml:space="preserve">C</w:t>
            </w:r>
          </w:p>
        </w:tc>
      </w:tr>
      <w:tr>
        <w:tc>
          <w:tcPr>
            <w:tcW w:type="dxa" w:w="2700"/>
            <w:shd w:fill="F2F2F2" w:val="clear"/>
            <w:tcMar>
              <w:top w:type="dxa" w:w="80"/>
              <w:left w:type="dxa" w:w="100"/>
              <w:bottom w:type="dxa" w:w="80"/>
              <w:right w:type="dxa" w:w="100"/>
            </w:tcMar>
            <w:vAlign w:val="center"/>
          </w:tcPr>
          <w:p>
            <w:pPr>
              <w:spacing w:after="0"/>
            </w:pPr>
            <w:r>
              <w:rPr>
                <w:b w:val="false"/>
                <w:bCs w:val="false"/>
                <w:sz w:val="20"/>
                <w:szCs w:val="20"/>
              </w:rPr>
              <w:t xml:space="preserve">Incident / breach response</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A/R</w:t>
            </w:r>
          </w:p>
        </w:tc>
        <w:tc>
          <w:tcPr>
            <w:tcW w:type="dxa" w:w="1350"/>
            <w:shd w:fill="F2F2F2" w:val="clear"/>
            <w:tcMar>
              <w:top w:type="dxa" w:w="80"/>
              <w:left w:type="dxa" w:w="100"/>
              <w:bottom w:type="dxa" w:w="80"/>
              <w:right w:type="dxa" w:w="100"/>
            </w:tcMar>
            <w:vAlign w:val="center"/>
          </w:tcPr>
          <w:p>
            <w:pPr>
              <w:spacing w:after="0"/>
            </w:pPr>
            <w:r>
              <w:rPr>
                <w:b w:val="false"/>
                <w:bCs w:val="false"/>
                <w:sz w:val="20"/>
                <w:szCs w:val="20"/>
              </w:rPr>
              <w:t xml:space="preserve">I</w:t>
            </w:r>
          </w:p>
        </w:tc>
        <w:tc>
          <w:tcPr>
            <w:tcW w:type="dxa" w:w="1226"/>
            <w:shd w:fill="F2F2F2" w:val="clear"/>
            <w:tcMar>
              <w:top w:type="dxa" w:w="80"/>
              <w:left w:type="dxa" w:w="100"/>
              <w:bottom w:type="dxa" w:w="80"/>
              <w:right w:type="dxa" w:w="100"/>
            </w:tcMar>
            <w:vAlign w:val="center"/>
          </w:tcPr>
          <w:p>
            <w:pPr>
              <w:spacing w:after="0"/>
            </w:pPr>
            <w:r>
              <w:rPr>
                <w:b w:val="false"/>
                <w:bCs w:val="false"/>
                <w:sz w:val="20"/>
                <w:szCs w:val="20"/>
              </w:rPr>
              <w:t xml:space="preserve">—</w:t>
            </w:r>
          </w:p>
        </w:tc>
        <w:tc>
          <w:tcPr>
            <w:tcW w:type="dxa" w:w="1000"/>
            <w:shd w:fill="F2F2F2" w:val="clear"/>
            <w:tcMar>
              <w:top w:type="dxa" w:w="80"/>
              <w:left w:type="dxa" w:w="100"/>
              <w:bottom w:type="dxa" w:w="80"/>
              <w:right w:type="dxa" w:w="100"/>
            </w:tcMar>
            <w:vAlign w:val="center"/>
          </w:tcPr>
          <w:p>
            <w:pPr>
              <w:spacing w:after="0"/>
            </w:pPr>
            <w:r>
              <w:rPr>
                <w:b w:val="false"/>
                <w:bCs w:val="false"/>
                <w:sz w:val="20"/>
                <w:szCs w:val="20"/>
              </w:rPr>
              <w:t xml:space="preserve">I</w:t>
            </w:r>
          </w:p>
        </w:tc>
        <w:tc>
          <w:tcPr>
            <w:tcW w:type="dxa" w:w="1400"/>
            <w:shd w:fill="F2F2F2" w:val="clear"/>
            <w:tcMar>
              <w:top w:type="dxa" w:w="80"/>
              <w:left w:type="dxa" w:w="100"/>
              <w:bottom w:type="dxa" w:w="80"/>
              <w:right w:type="dxa" w:w="100"/>
            </w:tcMar>
            <w:vAlign w:val="center"/>
          </w:tcPr>
          <w:p>
            <w:pPr>
              <w:spacing w:after="0"/>
            </w:pPr>
            <w:r>
              <w:rPr>
                <w:b w:val="false"/>
                <w:bCs w:val="false"/>
                <w:sz w:val="20"/>
                <w:szCs w:val="20"/>
              </w:rPr>
              <w:t xml:space="preserve">R</w:t>
            </w:r>
          </w:p>
        </w:tc>
      </w:tr>
    </w:tbl>
    <w:p>
      <w:pPr>
        <w:spacing w:after="160" w:line="276"/>
        <w:jc w:val="left"/>
      </w:pPr>
      <w:r>
        <w:rPr>
          <w:b w:val="false"/>
          <w:bCs w:val="false"/>
          <w:i/>
          <w:iCs/>
        </w:rPr>
        <w:t xml:space="preserve">A = Accountable, R = Responsible, C = Consulted, I = Informed.</w:t>
      </w:r>
    </w:p>
    <w:p>
      <w:pPr>
        <w:spacing w:after="200"/>
      </w:pPr>
    </w:p>
    <w:p>
      <w:pPr>
        <w:pStyle w:val="Heading2"/>
        <w:spacing w:after="120" w:before="280"/>
      </w:pPr>
      <w:r>
        <w:t xml:space="preserve">16.2 Reference Documents &amp; Sources</w:t>
      </w:r>
    </w:p>
    <w:p>
      <w:pPr>
        <w:pStyle w:val="ListParagraph"/>
        <w:numPr>
          <w:ilvl w:val="0"/>
          <w:numId w:val="2"/>
        </w:numPr>
        <w:spacing w:after="80" w:line="276"/>
      </w:pPr>
      <w:r>
        <w:t xml:space="preserve">CommunicationIQ-Student-Impact.pptx — Student Impact Brief, Pyramid Innovations, August 2026.</w:t>
      </w:r>
    </w:p>
    <w:p>
      <w:pPr>
        <w:pStyle w:val="ListParagraph"/>
        <w:numPr>
          <w:ilvl w:val="0"/>
          <w:numId w:val="2"/>
        </w:numPr>
        <w:spacing w:after="80" w:line="276"/>
      </w:pPr>
      <w:r>
        <w:t xml:space="preserve">knowledge.md — internal model inventory and competitor test-format breakdown.</w:t>
      </w:r>
    </w:p>
    <w:p>
      <w:pPr>
        <w:pStyle w:val="ListParagraph"/>
        <w:numPr>
          <w:ilvl w:val="0"/>
          <w:numId w:val="2"/>
        </w:numPr>
        <w:spacing w:after="80" w:line="276"/>
      </w:pPr>
      <w:r>
        <w:t xml:space="preserve">Azure AI Speech — Pronunciation Assessment documentation (reviewed and deliberately not adopted as the Day-1 provider, per business direction): https://learn.microsoft.com/en-us/azure/ai-services/speech-service/pronunciation-assessment-tool</w:t>
      </w:r>
    </w:p>
    <w:p>
      <w:pPr>
        <w:pStyle w:val="ListParagraph"/>
        <w:numPr>
          <w:ilvl w:val="0"/>
          <w:numId w:val="2"/>
        </w:numPr>
        <w:spacing w:after="80" w:line="276"/>
      </w:pPr>
      <w:r>
        <w:t xml:space="preserve">Speechace API plans/pricing (reviewed as a future pluggable option): https://www.speechace.com/api-plans/</w:t>
      </w:r>
    </w:p>
    <w:p>
      <w:pPr>
        <w:pStyle w:val="ListParagraph"/>
        <w:numPr>
          <w:ilvl w:val="0"/>
          <w:numId w:val="2"/>
        </w:numPr>
        <w:spacing w:after="80" w:line="276"/>
      </w:pPr>
      <w:r>
        <w:t xml:space="preserve">WhisperX (open-source ASR + alignment reference): https://github.com/m-bain/whisperX</w:t>
      </w:r>
    </w:p>
    <w:p>
      <w:pPr>
        <w:pStyle w:val="ListParagraph"/>
        <w:numPr>
          <w:ilvl w:val="0"/>
          <w:numId w:val="2"/>
        </w:numPr>
        <w:spacing w:after="80" w:line="276"/>
      </w:pPr>
      <w:r>
        <w:t xml:space="preserve">speechocean762 open pronunciation-scoring dataset: https://www.openslr.org/101/</w:t>
      </w:r>
    </w:p>
    <w:p>
      <w:pPr>
        <w:pStyle w:val="ListParagraph"/>
        <w:numPr>
          <w:ilvl w:val="0"/>
          <w:numId w:val="2"/>
        </w:numPr>
        <w:spacing w:after="80" w:line="276"/>
      </w:pPr>
      <w:r>
        <w:t xml:space="preserve">SpeechBrain ECAPA accent/speaker models: https://huggingface.co/speechbrain/spkrec-ecapa-voxceleb</w:t>
      </w:r>
    </w:p>
    <w:p>
      <w:pPr>
        <w:pStyle w:val="ListParagraph"/>
        <w:numPr>
          <w:ilvl w:val="0"/>
          <w:numId w:val="2"/>
        </w:numPr>
        <w:spacing w:after="80" w:line="276"/>
      </w:pPr>
      <w:r>
        <w:t xml:space="preserve">pyBKT (Bayesian Knowledge Tracing library): https://arxiv.org/abs/2105.00385</w:t>
      </w:r>
    </w:p>
    <w:p>
      <w:pPr>
        <w:pStyle w:val="ListParagraph"/>
        <w:numPr>
          <w:ilvl w:val="0"/>
          <w:numId w:val="2"/>
        </w:numPr>
        <w:spacing w:after="80" w:line="276"/>
      </w:pPr>
      <w:r>
        <w:t xml:space="preserve">catsim (computerized adaptive testing simulator): https://github.com/douglasrizzo/catsim</w:t>
      </w:r>
    </w:p>
    <w:p>
      <w:pPr>
        <w:pStyle w:val="ListParagraph"/>
        <w:numPr>
          <w:ilvl w:val="0"/>
          <w:numId w:val="2"/>
        </w:numPr>
        <w:spacing w:after="80" w:line="276"/>
      </w:pPr>
      <w:r>
        <w:t xml:space="preserve">India DPDP Act 2023 / DPDP Rules 2025 — biometric data obligations: https://ksandk.com/data-protection-and-data-privacy/regulation-of-biometric-data-under-the-dpdp-act/</w:t>
      </w:r>
    </w:p>
    <w:p>
      <w:pPr>
        <w:pStyle w:val="ListParagraph"/>
        <w:numPr>
          <w:ilvl w:val="0"/>
          <w:numId w:val="2"/>
        </w:numPr>
        <w:spacing w:after="80" w:line="276"/>
      </w:pPr>
      <w:r>
        <w:t xml:space="preserve">Razorpay Subscriptions (Day-1 payment-gateway provider): https://razorpay.com/subscriptions/</w:t>
      </w:r>
    </w:p>
    <w:p>
      <w:pPr>
        <w:pStyle w:val="ListParagraph"/>
        <w:numPr>
          <w:ilvl w:val="0"/>
          <w:numId w:val="2"/>
        </w:numPr>
        <w:spacing w:after="80" w:line="276"/>
      </w:pPr>
      <w:r>
        <w:t xml:space="preserve">Multi-tenant SaaS RBAC design references (AWS Prescriptive Guidance): https://docs.aws.amazon.com/prescriptive-guidance/latest/saas-multitenant-api-access-authorization/introduction.html</w:t>
      </w:r>
    </w:p>
    <w:p>
      <w:pPr>
        <w:spacing w:after="200"/>
      </w:pPr>
    </w:p>
    <w:p>
      <w:pPr>
        <w:pStyle w:val="Heading2"/>
        <w:spacing w:after="120" w:before="280"/>
      </w:pPr>
      <w:r>
        <w:t xml:space="preserve">16.3 Open Questions for Stakeholder Review</w:t>
      </w:r>
    </w:p>
    <w:p>
      <w:pPr>
        <w:pStyle w:val="ListParagraph"/>
        <w:numPr>
          <w:ilvl w:val="0"/>
          <w:numId w:val="2"/>
        </w:numPr>
        <w:spacing w:after="80" w:line="276"/>
      </w:pPr>
      <w:r>
        <w:t xml:space="preserve">Exact per-seat / per-institution price points for the initial plan templates.</w:t>
      </w:r>
    </w:p>
    <w:p>
      <w:pPr>
        <w:pStyle w:val="ListParagraph"/>
        <w:numPr>
          <w:ilvl w:val="0"/>
          <w:numId w:val="2"/>
        </w:numPr>
        <w:spacing w:after="80" w:line="276"/>
      </w:pPr>
      <w:r>
        <w:t xml:space="preserve">Whether any pilot tenant will include pre-18 students, which activates the parental-consent pathway held in reserve.</w:t>
      </w:r>
    </w:p>
    <w:p>
      <w:pPr>
        <w:pStyle w:val="ListParagraph"/>
        <w:numPr>
          <w:ilvl w:val="0"/>
          <w:numId w:val="2"/>
        </w:numPr>
        <w:spacing w:after="80" w:line="276"/>
      </w:pPr>
      <w:r>
        <w:t xml:space="preserve">The minimum acceptable in-house engine accuracy bar before Phase 1 is allowed to go live with real students (a specific number, not "good enough").</w:t>
      </w:r>
    </w:p>
    <w:p>
      <w:pPr>
        <w:pStyle w:val="ListParagraph"/>
        <w:numPr>
          <w:ilvl w:val="0"/>
          <w:numId w:val="2"/>
        </w:numPr>
        <w:spacing w:after="80" w:line="276"/>
      </w:pPr>
      <w:r>
        <w:t xml:space="preserve">Primary cloud/hosting provider choice, consistent with the India-data-residency requirement (NFR-08).</w:t>
      </w:r>
    </w:p>
    <w:p>
      <w:pPr>
        <w:pStyle w:val="ListParagraph"/>
        <w:numPr>
          <w:ilvl w:val="0"/>
          <w:numId w:val="2"/>
        </w:numPr>
        <w:spacing w:after="80" w:line="276"/>
      </w:pPr>
      <w:r>
        <w:t xml:space="preserve">Whether a compliance/legal sign-off gate is required before any pilot tenant records real student voice data, and who holds that sign-off authority.</w:t>
      </w:r>
    </w:p>
    <w:p>
      <w:pPr>
        <w:pStyle w:val="ListParagraph"/>
        <w:numPr>
          <w:ilvl w:val="0"/>
          <w:numId w:val="2"/>
        </w:numPr>
        <w:spacing w:after="80" w:line="276"/>
      </w:pPr>
      <w:r>
        <w:t xml:space="preserve">Target date and named owner for standing up the human-rater labelling program (ENG-09), given it is the longest lead-time item in this document.</w:t>
      </w:r>
    </w:p>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Communication IQ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2026-08-13T09:41:49.089Z</dcterms:created>
  <dcterms:modified xsi:type="dcterms:W3CDTF">2026-08-13T09:41:49.089Z</dcterms:modified>
</cp:coreProperties>
</file>

<file path=docProps/custom.xml><?xml version="1.0" encoding="utf-8"?>
<Properties xmlns="http://schemas.openxmlformats.org/officeDocument/2006/custom-properties" xmlns:vt="http://schemas.openxmlformats.org/officeDocument/2006/docPropsVTypes"/>
</file>