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BC0" w:rsidRDefault="00730BC0" w:rsidP="00730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7"/>
          <w:szCs w:val="27"/>
          <w:lang w:eastAsia="en-IN"/>
        </w:rPr>
        <w:t>DETAILED ANALYSIS OF THE DIFFERENCES</w:t>
      </w:r>
      <w:bookmarkStart w:id="0" w:name="_GoBack"/>
      <w:bookmarkEnd w:id="0"/>
    </w:p>
    <w:p w:rsidR="00730BC0" w:rsidRPr="00730BC0" w:rsidRDefault="00730BC0" w:rsidP="00730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SSC_P (Secondary School Percentage)</w:t>
      </w:r>
    </w:p>
    <w:p w:rsidR="00730BC0" w:rsidRPr="00730BC0" w:rsidRDefault="00730BC0" w:rsidP="00730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 (25%) to Q2 (50%)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SSC percentage rises from 60.6 to 67.0, a moderate increase of 6.4%.</w:t>
      </w:r>
    </w:p>
    <w:p w:rsidR="00730BC0" w:rsidRPr="00730BC0" w:rsidRDefault="00730BC0" w:rsidP="00730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 (50%) to Q3 (75%)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SSC percentage increases further from 67.0 to 75.7, reflecting a higher increase of 8.7%.</w:t>
      </w:r>
    </w:p>
    <w:p w:rsidR="00730BC0" w:rsidRPr="00730BC0" w:rsidRDefault="00730BC0" w:rsidP="00730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 (75%) to Q4 (100%)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jump from 75.7 to 89.4 shows a significant increase of 13.7%.</w:t>
      </w:r>
    </w:p>
    <w:p w:rsidR="00730BC0" w:rsidRPr="00730BC0" w:rsidRDefault="00730BC0" w:rsidP="00730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99%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SSC percentage reaches 87.0, which is slightly lower than the Q4 value of 89.4.</w:t>
      </w:r>
    </w:p>
    <w:p w:rsidR="00730BC0" w:rsidRPr="00730BC0" w:rsidRDefault="00730BC0" w:rsidP="00730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HSC_P (Higher Secondary School Percentage)</w:t>
      </w:r>
    </w:p>
    <w:p w:rsidR="00730BC0" w:rsidRPr="00730BC0" w:rsidRDefault="00730BC0" w:rsidP="00730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 (25%) to Q2 (50%)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HSC percentage moves from 60.9 to 65.0, representing a 4.1% increase.</w:t>
      </w:r>
    </w:p>
    <w:p w:rsidR="00730BC0" w:rsidRPr="00730BC0" w:rsidRDefault="00730BC0" w:rsidP="00730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 (50%) to Q3 (75%)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percentage further climbs from 65.0 to 73.0, indicating an 8% rise.</w:t>
      </w:r>
    </w:p>
    <w:p w:rsidR="00730BC0" w:rsidRPr="00730BC0" w:rsidRDefault="00730BC0" w:rsidP="00730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 (75%) to Q4 (100%)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percentage jumps from 73.0 to 97.7, a substantial increase of 24.7%.</w:t>
      </w:r>
    </w:p>
    <w:p w:rsidR="00730BC0" w:rsidRPr="00730BC0" w:rsidRDefault="00730BC0" w:rsidP="00730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99%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HSC percentage reaches 91.86, which is lower than the Q4 value of 97.7.</w:t>
      </w:r>
    </w:p>
    <w:p w:rsidR="00730BC0" w:rsidRPr="00730BC0" w:rsidRDefault="00730BC0" w:rsidP="00730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DEGREE_P (Degree Percentage)</w:t>
      </w:r>
    </w:p>
    <w:p w:rsidR="00730BC0" w:rsidRPr="00730BC0" w:rsidRDefault="00730BC0" w:rsidP="00730B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 (25%) to Q2 (50%)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Degree percentage goes from 61.0 to 66.0, marking a 5% increase.</w:t>
      </w:r>
    </w:p>
    <w:p w:rsidR="00730BC0" w:rsidRPr="00730BC0" w:rsidRDefault="00730BC0" w:rsidP="00730B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 (50%) to Q3 (75%)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From 66.0 to 72.0, there's a 6% rise.</w:t>
      </w:r>
    </w:p>
    <w:p w:rsidR="00730BC0" w:rsidRPr="00730BC0" w:rsidRDefault="00730BC0" w:rsidP="00730B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 (75%) to Q4 (100%)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percentage rises sharply from 72.0 to 91.0, reflecting a 19% increase.</w:t>
      </w:r>
    </w:p>
    <w:p w:rsidR="00730BC0" w:rsidRPr="00730BC0" w:rsidRDefault="00730BC0" w:rsidP="00730B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99%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degree percentage reaches 83.86, which is lower than the Q4 value of 91.0.</w:t>
      </w:r>
    </w:p>
    <w:p w:rsidR="00730BC0" w:rsidRPr="00730BC0" w:rsidRDefault="00730BC0" w:rsidP="00730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ETEST_P (E-Test Percentage)</w:t>
      </w:r>
    </w:p>
    <w:p w:rsidR="00730BC0" w:rsidRPr="00730BC0" w:rsidRDefault="00730BC0" w:rsidP="00730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 (25%) to Q2 (50%)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E-Test percentage increases from 60.0 to 71.0, a significant 11% rise.</w:t>
      </w:r>
    </w:p>
    <w:p w:rsidR="00730BC0" w:rsidRPr="00730BC0" w:rsidRDefault="00730BC0" w:rsidP="00730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 (50%) to Q3 (75%)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From 71.0 to 83.5, there's a 12.5% increase.</w:t>
      </w:r>
    </w:p>
    <w:p w:rsidR="00730BC0" w:rsidRPr="00730BC0" w:rsidRDefault="00730BC0" w:rsidP="00730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 (75%) to Q4 (100%)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percentage rises from 83.5 to 98.0, reflecting a 14.5% increase.</w:t>
      </w:r>
    </w:p>
    <w:p w:rsidR="00730BC0" w:rsidRPr="00730BC0" w:rsidRDefault="00730BC0" w:rsidP="00730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99%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E-Test percentage reaches 97.0, which is slightly lower than the Q4 value of 98.0.</w:t>
      </w:r>
    </w:p>
    <w:p w:rsidR="00730BC0" w:rsidRPr="00730BC0" w:rsidRDefault="00730BC0" w:rsidP="00730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MBA_P (MBA Percentage)</w:t>
      </w:r>
    </w:p>
    <w:p w:rsidR="00730BC0" w:rsidRPr="00730BC0" w:rsidRDefault="00730BC0" w:rsidP="00730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 (25%) to Q2 (50%)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MBA percentage climbs from 57.945 to 62.0, indicating a 4.055% increase.</w:t>
      </w:r>
    </w:p>
    <w:p w:rsidR="00730BC0" w:rsidRPr="00730BC0" w:rsidRDefault="00730BC0" w:rsidP="00730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 (50%) to Q3 (75%)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From 62.0 to 66.255, there's a 4.255% rise.</w:t>
      </w:r>
    </w:p>
    <w:p w:rsidR="00730BC0" w:rsidRPr="00730BC0" w:rsidRDefault="00730BC0" w:rsidP="00730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 (75%) to Q4 (100%)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percentage increases from 66.255 to 77.89, reflecting a significant 11.635% rise.</w:t>
      </w:r>
    </w:p>
    <w:p w:rsidR="00730BC0" w:rsidRPr="00730BC0" w:rsidRDefault="00730BC0" w:rsidP="00730B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99%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MBA percentage reaches 76.1142, which is lower than the Q4 value of 77.89.</w:t>
      </w:r>
    </w:p>
    <w:p w:rsidR="00730BC0" w:rsidRPr="00730BC0" w:rsidRDefault="00730BC0" w:rsidP="00730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Salary</w:t>
      </w:r>
    </w:p>
    <w:p w:rsidR="00730BC0" w:rsidRPr="00730BC0" w:rsidRDefault="00730BC0" w:rsidP="00730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 (25%) to Q2 (50%)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Salary increases from 240,000 to 265,000, which is a 25,000 increase.</w:t>
      </w:r>
    </w:p>
    <w:p w:rsidR="00730BC0" w:rsidRPr="00730BC0" w:rsidRDefault="00730BC0" w:rsidP="00730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 (50%) to Q3 (75%)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From 265,000 to 300,000, there's a 35,000 increase.</w:t>
      </w:r>
    </w:p>
    <w:p w:rsidR="00730BC0" w:rsidRPr="00730BC0" w:rsidRDefault="00730BC0" w:rsidP="00730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 (75%) to Q4 (100%)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salary jumps significantly from 300,000 to 940,000, which is a 640,000 increase.</w:t>
      </w:r>
    </w:p>
    <w:p w:rsidR="00730BC0" w:rsidRPr="00730BC0" w:rsidRDefault="00730BC0" w:rsidP="00730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99%</w:t>
      </w:r>
      <w:r w:rsidRPr="0073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salary data is not provided for the 99% percentile, so no comparison is available.</w:t>
      </w:r>
    </w:p>
    <w:p w:rsidR="00730BC0" w:rsidRDefault="00730BC0" w:rsidP="00730BC0">
      <w:pPr>
        <w:pStyle w:val="Heading3"/>
      </w:pPr>
      <w:r>
        <w:t>Conclusion</w:t>
      </w:r>
    </w:p>
    <w:p w:rsidR="00730BC0" w:rsidRDefault="00730BC0" w:rsidP="00730BC0">
      <w:pPr>
        <w:pStyle w:val="NormalWeb"/>
      </w:pPr>
      <w:r>
        <w:t>Overall, the analysis of various academic percentages (SSC, HSC, Degree, E-Test, and MBA) and salary data reveals that:</w:t>
      </w:r>
    </w:p>
    <w:p w:rsidR="00730BC0" w:rsidRDefault="00730BC0" w:rsidP="00730BC0">
      <w:pPr>
        <w:pStyle w:val="NormalWeb"/>
        <w:numPr>
          <w:ilvl w:val="0"/>
          <w:numId w:val="7"/>
        </w:numPr>
      </w:pPr>
      <w:r>
        <w:t>The percentages and salary consistently increase across quartiles (Q1 to Q4), with the largest jumps observed from Q3 to Q4.</w:t>
      </w:r>
    </w:p>
    <w:p w:rsidR="00730BC0" w:rsidRDefault="00730BC0" w:rsidP="00730BC0">
      <w:pPr>
        <w:pStyle w:val="NormalWeb"/>
        <w:numPr>
          <w:ilvl w:val="0"/>
          <w:numId w:val="7"/>
        </w:numPr>
      </w:pPr>
      <w:r>
        <w:t>The 99th percentile values are generally slightly lower than the Q4 values but indicate high achievement levels.</w:t>
      </w:r>
    </w:p>
    <w:p w:rsidR="00730BC0" w:rsidRDefault="00730BC0" w:rsidP="00730BC0">
      <w:pPr>
        <w:pStyle w:val="NormalWeb"/>
        <w:numPr>
          <w:ilvl w:val="0"/>
          <w:numId w:val="7"/>
        </w:numPr>
      </w:pPr>
      <w:r>
        <w:t>There are noticeable significant increases in HSC and Degree percentages as well as salaries, demonstrating that the top quartile (Q4) students and earners significantly outperform others.</w:t>
      </w:r>
    </w:p>
    <w:p w:rsidR="00730BC0" w:rsidRDefault="00730BC0" w:rsidP="00730BC0">
      <w:pPr>
        <w:pStyle w:val="NormalWeb"/>
        <w:numPr>
          <w:ilvl w:val="0"/>
          <w:numId w:val="7"/>
        </w:numPr>
      </w:pPr>
      <w:r>
        <w:t>These trends highlight the performance and compensation distribution among individuals, where a minority at the top achieve exceptionally high values compared to the rest.</w:t>
      </w:r>
    </w:p>
    <w:p w:rsidR="002F6604" w:rsidRDefault="002F6604"/>
    <w:sectPr w:rsidR="002F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B7E" w:rsidRDefault="00573B7E" w:rsidP="00730BC0">
      <w:pPr>
        <w:spacing w:after="0" w:line="240" w:lineRule="auto"/>
      </w:pPr>
      <w:r>
        <w:separator/>
      </w:r>
    </w:p>
  </w:endnote>
  <w:endnote w:type="continuationSeparator" w:id="0">
    <w:p w:rsidR="00573B7E" w:rsidRDefault="00573B7E" w:rsidP="0073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B7E" w:rsidRDefault="00573B7E" w:rsidP="00730BC0">
      <w:pPr>
        <w:spacing w:after="0" w:line="240" w:lineRule="auto"/>
      </w:pPr>
      <w:r>
        <w:separator/>
      </w:r>
    </w:p>
  </w:footnote>
  <w:footnote w:type="continuationSeparator" w:id="0">
    <w:p w:rsidR="00573B7E" w:rsidRDefault="00573B7E" w:rsidP="0073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34B8"/>
    <w:multiLevelType w:val="multilevel"/>
    <w:tmpl w:val="5B20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68D7"/>
    <w:multiLevelType w:val="multilevel"/>
    <w:tmpl w:val="8A34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6077D"/>
    <w:multiLevelType w:val="multilevel"/>
    <w:tmpl w:val="FAEE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10248"/>
    <w:multiLevelType w:val="multilevel"/>
    <w:tmpl w:val="5D96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E176E"/>
    <w:multiLevelType w:val="multilevel"/>
    <w:tmpl w:val="1AD2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75B0B"/>
    <w:multiLevelType w:val="multilevel"/>
    <w:tmpl w:val="06A0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06E75"/>
    <w:multiLevelType w:val="multilevel"/>
    <w:tmpl w:val="882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C0"/>
    <w:rsid w:val="002F6604"/>
    <w:rsid w:val="00573B7E"/>
    <w:rsid w:val="0073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B8F87"/>
  <w15:chartTrackingRefBased/>
  <w15:docId w15:val="{A33AF8B0-4111-4AFE-B19E-0D815698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0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0B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0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0BC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0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BC0"/>
  </w:style>
  <w:style w:type="paragraph" w:styleId="Footer">
    <w:name w:val="footer"/>
    <w:basedOn w:val="Normal"/>
    <w:link w:val="FooterChar"/>
    <w:uiPriority w:val="99"/>
    <w:unhideWhenUsed/>
    <w:rsid w:val="00730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2025-01-12T10:28:00Z</dcterms:created>
  <dcterms:modified xsi:type="dcterms:W3CDTF">2025-01-12T10:31:00Z</dcterms:modified>
</cp:coreProperties>
</file>