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Journal of Pest Science</w:t>
      </w:r>
    </w:p>
    <w:p>
      <w:pPr>
        <w:pStyle w:val="BodyText"/>
      </w:pPr>
      <w:r>
        <w:rPr>
          <w:bCs/>
          <w:b/>
        </w:rPr>
        <w:t xml:space="preserve">Online Resource 1</w:t>
      </w:r>
    </w:p>
    <w:p>
      <w:pPr>
        <w:pStyle w:val="BodyText"/>
      </w:pPr>
      <w:r>
        <w:rPr>
          <w:bCs/>
          <w:b/>
        </w:rPr>
        <w:t xml:space="preserve">Rice production systems exposed to the rice root-knot nematode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Meloidogyne graminicola</w:t>
      </w:r>
      <w:r>
        <w:rPr>
          <w:bCs/>
          <w:b/>
        </w:rPr>
        <w:t xml:space="preserve">: climatic suitability, water-saving transitions and climate change</w:t>
      </w:r>
    </w:p>
    <w:p>
      <w:pPr>
        <w:pStyle w:val="BodyText"/>
      </w:pPr>
      <w:r>
        <w:t xml:space="preserve">Arun Arunachalam</w:t>
      </w:r>
      <w:r>
        <w:rPr>
          <w:vertAlign w:val="superscript"/>
        </w:rPr>
        <w:t xml:space="preserve">*</w:t>
      </w:r>
      <w:r>
        <w:t xml:space="preserve">, Narayana R, Amritha V.S., Mohankumar Shanmugam, Shandeep Ganeshan, Deeikshana Thirunavukkarasu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Corresponding author: arunnematology@gmail.com (Department of Nematology, College of Agriculture, Kerala Agricultural University, Vellayani, Thiruvananthapuram 695522, India)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This file contains Tables S1–S3 and Figs. S1–S10. Tables S4–S9 are supplied as spreadsheet (.csv) files in Online Resource 2, together with the R script that reproduces every result: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S4</w:t>
      </w:r>
      <w:r>
        <w:t xml:space="preserve"> </w:t>
      </w:r>
      <w:r>
        <w:t xml:space="preserve">The 14 training-data specifications: location, weighting, duplication, feature class, multiplier, threshold, suitable share and correlation with the centroid surface (Table_R2_variants.csv)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S5</w:t>
      </w:r>
      <w:r>
        <w:t xml:space="preserve"> </w:t>
      </w:r>
      <w:r>
        <w:t xml:space="preserve">EPPO records, GADM correspondence, matching method, host mask and area-based weight (Meloidogyne_graminicola_EPPO_geocoded.csv; eppo_unit_crosswalk.csv)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S6</w:t>
      </w:r>
      <w:r>
        <w:t xml:space="preserve"> </w:t>
      </w:r>
      <w:r>
        <w:t xml:space="preserve">Rice area in suitable climate by country, record status and surveillance priority (Table_R8_rice_exposure_by_country_full.csv; Table_R11_surveillance_priorities.csv). Taiwan, listed as unrecorded in the database output, is reclassified as recorded (Yao et al. 2020)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S7</w:t>
      </w:r>
      <w:r>
        <w:t xml:space="preserve"> </w:t>
      </w:r>
      <w:r>
        <w:t xml:space="preserve">Projected change by climate model (Table_7b_change_by_gcm.csv); model agreement (Table_9_model_agreement.csv); novelty of the future extent and of gained area (Table_10_future_novelty.csv; Table_10b_gain_novelty.csv)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S8</w:t>
      </w:r>
      <w:r>
        <w:t xml:space="preserve"> </w:t>
      </w:r>
      <w:r>
        <w:t xml:space="preserve">Projected change by country (Table_12_country_change_top.csv; Table_S3_country_change_full.csv) and on cropland (Table_13_crop_area_change.csv)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S9</w:t>
      </w:r>
      <w:r>
        <w:t xml:space="preserve"> </w:t>
      </w:r>
      <w:r>
        <w:t xml:space="preserve">Centroid and latitudinal shift of suitable area (Table_11_centroid_and_latitude_shift.csv)</w:t>
      </w:r>
    </w:p>
    <w:p>
      <w:pPr>
        <w:pStyle w:val="FirstParagraph"/>
      </w:pPr>
      <w:r>
        <w:t xml:space="preserve">Figs. S1–S5 describe the centroid specification; Figs. S6–S10 the future projections of the primary specification.</w:t>
      </w:r>
    </w:p>
    <w:p>
      <w:r>
        <w:br w:type="page"/>
      </w:r>
    </w:p>
    <w:bookmarkEnd w:id="20"/>
    <w:bookmarkStart w:id="21" w:name="supplementary-tables"/>
    <w:p>
      <w:pPr>
        <w:pStyle w:val="Heading1"/>
      </w:pPr>
      <w:r>
        <w:t xml:space="preserve">Supplementary tables</w:t>
      </w:r>
    </w:p>
    <w:p>
      <w:pPr>
        <w:pStyle w:val="FirstParagraph"/>
      </w:pPr>
      <w:r>
        <w:rPr>
          <w:bCs/>
          <w:b/>
        </w:rPr>
        <w:t xml:space="preserve">Table S1</w:t>
      </w:r>
      <w:r>
        <w:t xml:space="preserve"> </w:t>
      </w:r>
      <w:r>
        <w:t xml:space="preserve">Model performance across successive refinements of the training dataset, centroid specification (best model by AICc at each stage; feature class LQ, regularisation multiplier 1 in all cases)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Model version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n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Predictors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AUC (train)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AUC (validation, random k-fold)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CBI (validation)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AICc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Pre-thinning, climate only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109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0.877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0.865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0.872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2979.7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Post-thinning, climate only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101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0.874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0.866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0.847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2900.3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Post-thinning + cropland (centroid specification)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101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0.898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0.886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2885.0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S2</w:t>
      </w:r>
      <w:r>
        <w:t xml:space="preserve"> </w:t>
      </w:r>
      <w:r>
        <w:t xml:space="preserve">Comparison of random and spatially blocked cross-validation schemes for the five-predictor centroid specification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Cross-validation scheme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AUC (validation)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CBI (validation)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Train–validation AUC gap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10th-percentile omission rate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Random 5-fold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0.886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0.099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Spatial block, 4,482 km (imbalanced folds)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0.755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0.141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0.288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Spatial block, 500 km (balanced folds)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0.878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0.045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0.105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S3</w:t>
      </w:r>
      <w:r>
        <w:t xml:space="preserve"> </w:t>
      </w:r>
      <w:r>
        <w:t xml:space="preserve">Combined (GBIF + EPPO) versus GBIF-only training data under random cross-validation (centroid specification). These are not independent tests; see Table 5 of the main text for the withheld comparison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Metric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Combined model (GBIF + EPPO, n = 101)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b/>
                <w:sz w:val="20"/>
              </w:rPr>
              <w:t xml:space="preserve">GBIF-only model (n = 33)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AUC (train)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0.898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0.954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AUC (validation, random k-fold)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0.884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0.926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AUC validation SD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0.093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CBI (validation)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0.886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0.721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CBI validation SD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0.045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0.163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Train–validation AUC gap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0.073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10th-percentile omission rate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0.099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0.162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EPPO presence hit rate (records used in training)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89.7%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55.9%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Predicted suitability at Slovakia (confirmed absence)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0.131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sz w:val="20"/>
              </w:rPr>
              <w:t xml:space="preserve">0.002</w:t>
            </w:r>
          </w:p>
        </w:tc>
      </w:tr>
    </w:tbl>
    <w:p>
      <w:r>
        <w:br w:type="page"/>
      </w:r>
    </w:p>
    <w:bookmarkEnd w:id="21"/>
    <w:bookmarkStart w:id="52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dia/media/image1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S1</w:t>
      </w:r>
      <w:r>
        <w:t xml:space="preserve"> </w:t>
      </w:r>
      <w:r>
        <w:t xml:space="preserve">Predicted suitability from the centroid specification (geocoded centroids, unweighted; linear and quadratic features, regularisation multiplier 1; threshold 0.186); occurrence records in red</w:t>
      </w:r>
    </w:p>
    <w:p>
      <w:r>
        <w:br w:type="page"/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media/image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S2</w:t>
      </w:r>
      <w:r>
        <w:t xml:space="preserve"> </w:t>
      </w:r>
      <w:r>
        <w:t xml:space="preserve">Predictor contributions for the centroid specification: leave-one-out jackknife change in gain (left; the negative value for BIO4 reflects redundancy with BIO1) and permutation importance (right)</w:t>
      </w:r>
    </w:p>
    <w:p>
      <w:r>
        <w:br w:type="page"/>
      </w:r>
    </w:p>
    <w:p>
      <w:pPr>
        <w:pStyle w:val="BodyText"/>
      </w:pPr>
      <w:r>
        <w:drawing>
          <wp:inline>
            <wp:extent cx="5334000" cy="315190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media/image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S3</w:t>
      </w:r>
      <w:r>
        <w:t xml:space="preserve"> </w:t>
      </w:r>
      <w:r>
        <w:t xml:space="preserve">Marginal response curves of the centroid specification; each predictor varied across its observed range with the others held at their mean (cloglog scale)</w:t>
      </w:r>
    </w:p>
    <w:p>
      <w:r>
        <w:br w:type="page"/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media/image1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S4</w:t>
      </w:r>
      <w:r>
        <w:t xml:space="preserve"> </w:t>
      </w:r>
      <w:r>
        <w:t xml:space="preserve">Present-day multivariate environmental similarity surface (MESS) relative to the training records. Negative values (red) mark conditions outside the training envelope</w:t>
      </w:r>
    </w:p>
    <w:p>
      <w:r>
        <w:br w:type="page"/>
      </w:r>
    </w:p>
    <w:p>
      <w:pPr>
        <w:pStyle w:val="BodyText"/>
      </w:pPr>
      <w:r>
        <w:drawing>
          <wp:inline>
            <wp:extent cx="5334000" cy="242454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media/image1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S5</w:t>
      </w:r>
      <w:r>
        <w:t xml:space="preserve"> </w:t>
      </w:r>
      <w:r>
        <w:t xml:space="preserve">Random cross-validation of the combined and GBIF-only training sets (centroid specification): train–validation AUC difference, EPPO hit rate, validation AUC and CBI (error bars: cross-validation SD). These are not independent tests; see Table 5 of the main text for the withheld comparison</w:t>
      </w:r>
    </w:p>
    <w:p>
      <w:r>
        <w:br w:type="page"/>
      </w:r>
    </w:p>
    <w:p>
      <w:pPr>
        <w:pStyle w:val="BodyText"/>
      </w:pPr>
      <w:r>
        <w:drawing>
          <wp:inline>
            <wp:extent cx="5334000" cy="348761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media/image1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S6</w:t>
      </w:r>
      <w:r>
        <w:t xml:space="preserve"> </w:t>
      </w:r>
      <w:r>
        <w:t xml:space="preserve">Ensemble-mean projected suitability (primary specification; five CMIP6 models) for each scenario, with cropland held at present values</w:t>
      </w:r>
    </w:p>
    <w:p>
      <w:r>
        <w:br w:type="page"/>
      </w:r>
    </w:p>
    <w:p>
      <w:pPr>
        <w:pStyle w:val="BodyText"/>
      </w:pPr>
      <w:r>
        <w:drawing>
          <wp:inline>
            <wp:extent cx="5334000" cy="348761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edia/media/image1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S7</w:t>
      </w:r>
      <w:r>
        <w:t xml:space="preserve"> </w:t>
      </w:r>
      <w:r>
        <w:t xml:space="preserve">Number of the five climate models projecting each cell as suitable at the present-day threshold, for each scenario</w:t>
      </w:r>
    </w:p>
    <w:p>
      <w:r>
        <w:br w:type="page"/>
      </w:r>
    </w:p>
    <w:p>
      <w:pPr>
        <w:pStyle w:val="BodyText"/>
      </w:pPr>
      <w:r>
        <w:drawing>
          <wp:inline>
            <wp:extent cx="5334000" cy="348761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media/image1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S8</w:t>
      </w:r>
      <w:r>
        <w:t xml:space="preserve"> </w:t>
      </w:r>
      <w:r>
        <w:t xml:space="preserve">Environmental novelty (MESS) of the projected climates relative to the training data; negative values mark cells where at least one predictor lies outside the training range</w:t>
      </w:r>
    </w:p>
    <w:p>
      <w:r>
        <w:br w:type="page"/>
      </w:r>
    </w:p>
    <w:p>
      <w:pPr>
        <w:pStyle w:val="BodyText"/>
      </w:pPr>
      <w:r>
        <w:drawing>
          <wp:inline>
            <wp:extent cx="5334000" cy="41486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media/image1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S9</w:t>
      </w:r>
      <w:r>
        <w:t xml:space="preserve"> </w:t>
      </w:r>
      <w:r>
        <w:t xml:space="preserve">Suitable area per 0.5° latitude band at present and in each scenario; dashed lines mark the area-weighted centroid latitude</w:t>
      </w:r>
    </w:p>
    <w:p>
      <w:r>
        <w:br w:type="page"/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media/image1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Fig. S10</w:t>
      </w:r>
      <w:r>
        <w:t xml:space="preserve"> </w:t>
      </w:r>
      <w:r>
        <w:t xml:space="preserve">The fifteen countries with the largest net change in suitable area under SSP5-8.5, 2061–2080, shown for all four scenarios</w:t>
      </w:r>
    </w:p>
    <w:bookmarkEnd w:id="52"/>
    <w:bookmarkStart w:id="53" w:name="reference"/>
    <w:p>
      <w:pPr>
        <w:pStyle w:val="Heading1"/>
      </w:pPr>
      <w:r>
        <w:t xml:space="preserve">Reference</w:t>
      </w:r>
    </w:p>
    <w:p>
      <w:pPr>
        <w:pStyle w:val="FirstParagraph"/>
      </w:pPr>
      <w:r>
        <w:t xml:space="preserve">Yao S-M, Huang Y-F, Yang J-I (2020) The screening of resistance against</w:t>
      </w:r>
      <w:r>
        <w:t xml:space="preserve"> </w:t>
      </w:r>
      <w:r>
        <w:rPr>
          <w:iCs/>
          <w:i/>
        </w:rPr>
        <w:t xml:space="preserve">Meloidogyne graminicola</w:t>
      </w:r>
      <w:r>
        <w:t xml:space="preserve"> </w:t>
      </w:r>
      <w:r>
        <w:t xml:space="preserve">in oats. Agriculture 10:352. https://doi.org/10.3390/agriculture10080352</w:t>
      </w:r>
    </w:p>
    <w:bookmarkEnd w:id="53"/>
    <w:sectPr>
      <w:footerReference w:type="default" r:id="rId9"/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 w:before="0"/>
    </w:pPr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Times New Roman" w:hAnsi="Times New Roman" w:cs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20" w:before="0"/>
    </w:pPr>
    <w:rPr>
      <w:rFonts w:ascii="Times New Roman" w:hAnsi="Times New Roman" w:cs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276" w:lineRule="auto"/>
    </w:pPr>
    <w:rPr>
      <w:rFonts w:ascii="Times New Roman" w:hAnsi="Times New Roman" w:cs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 w:after="120" w:before="0"/>
    </w:pPr>
    <w:rPr>
      <w:rFonts w:ascii="Times New Roman" w:hAnsi="Times New Roman" w:cs="Times New Roman" w:eastAsia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49" Type="http://schemas.openxmlformats.org/officeDocument/2006/relationships/image" Target="media/rId4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2026-10-23T06:23:23Z</dcterms:created>
  <dcterms:modified xsi:type="dcterms:W3CDTF">2026-10-23T06:23:23Z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