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6F50"/>
          <w:sz w:val="56"/>
          <w:szCs w:val="56"/>
        </w:rPr>
        <w:t xml:space="preserve">EV Charging Platform</w:t>
      </w:r>
    </w:p>
    <w:p>
      <w:pPr>
        <w:spacing w:after="40"/>
      </w:pPr>
      <w:r>
        <w:rPr>
          <w:color w:val="6B7280"/>
          <w:sz w:val="26"/>
          <w:szCs w:val="26"/>
        </w:rPr>
        <w:t xml:space="preserve">Product &amp; Technical Specification — v1.0</w:t>
      </w:r>
    </w:p>
    <w:p>
      <w:pPr>
        <w:spacing w:after="400"/>
      </w:pPr>
      <w:r>
        <w:rPr>
          <w:i/>
          <w:iCs/>
          <w:color w:val="6B7280"/>
          <w:sz w:val="22"/>
          <w:szCs w:val="22"/>
        </w:rPr>
        <w:t xml:space="preserve">iOS · Android · Web  —  Driver app, Operator dashboard, Fleet module</w:t>
      </w:r>
    </w:p>
    <w:p>
      <w:pPr>
        <w:pStyle w:val="Heading2"/>
        <w:spacing w:after="120" w:before="260"/>
      </w:pPr>
      <w:r>
        <w:t xml:space="preserve">Document purpose</w:t>
      </w:r>
    </w:p>
    <w:p>
      <w:pPr>
        <w:spacing w:after="120"/>
      </w:pPr>
      <w:r>
        <w:t xml:space="preserve">This spec turns the product guide into an execution-ready plan: scope, contracts, data model, and a build sequence a team can start against without further discovery. It assumes three client codebases (native iOS, native Android, Next.js web) against one backend.</w:t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20"/>
      </w:pPr>
      <w:r>
        <w:t xml:space="preserve">A charging platform serving six roles across three surfaces. The wedge is trust: a per-connector reliability score and guaranteed-charge insurance, shippable from data already produced by OCPP session events. Everything else — V2G, microgrids, AI routing — sequences in after the core loop (find → charge → pay) is reliable at scale.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50"/>
      </w:tblGrid>
      <w:tr>
        <w:tc>
          <w:tcPr>
            <w:tcW w:type="dxa" w:w="3200"/>
            <w:shd w:fill="1F6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shd w:fill="1F6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950"/>
            <w:shd w:fill="1F6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Charge start latency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&lt; 3s from tap to RemoteStartTransaction ack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p95, includes OCPP round-trip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Live session update lag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&lt; 5s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MeterValues → app UI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API availability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99.9% monthly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excludes scheduled maintenance windows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Payment capture success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&gt; 99.5%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PSP-hosted fields, no raw PAN in our systems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Station status staleness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&lt; 30s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StatusNotification-driven, Redis-backed</w:t>
            </w:r>
          </w:p>
        </w:tc>
      </w:tr>
    </w:tbl>
    <w:p>
      <w:pPr>
        <w:pStyle w:val="Heading1"/>
        <w:spacing w:after="160" w:before="360"/>
      </w:pPr>
      <w:r>
        <w:t xml:space="preserve">2. Users &amp; permission model</w:t>
      </w:r>
    </w:p>
    <w:p>
      <w:pPr>
        <w:spacing w:after="120"/>
      </w:pPr>
      <w:r>
        <w:t xml:space="preserve">Six roles, one permission matrix — enforced server-side via RBAC claims in the auth token, never trusted from client state.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50"/>
      </w:tblGrid>
      <w:tr>
        <w:tc>
          <w:tcPr>
            <w:tcW w:type="dxa" w:w="2000"/>
            <w:shd w:fill="1F6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shd w:fill="1F6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750"/>
            <w:shd w:fill="1F6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Driver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Own sessions, payments, vehicles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start/stop, pay, manage own account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Fleet driver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Assigned vehicle only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start/stop; billing auto-routes to company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Fleet manager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All vehicles/drivers in their company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roster mgmt, policy rules, cost export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Station admin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Own stations/connectors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pricing, inventory, analytics, tickets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Support/technician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Sessions/stations tied to open tickets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remote reset, dispatch, ticket close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All operators</w:t>
            </w:r>
          </w:p>
        </w:tc>
        <w:tc>
          <w:tcPr>
            <w:tcW w:type="dxa" w:w="3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onboarding, suspension, global config</w:t>
            </w:r>
          </w:p>
        </w:tc>
      </w:tr>
    </w:tbl>
    <w:p>
      <w:pPr>
        <w:pStyle w:val="Heading1"/>
        <w:spacing w:after="160" w:before="360"/>
      </w:pPr>
      <w:r>
        <w:t xml:space="preserve">3. System architecture</w:t>
      </w:r>
    </w:p>
    <w:p>
      <w:pPr>
        <w:spacing w:after="120"/>
      </w:pPr>
      <w:r>
        <w:t xml:space="preserve">Three clients, one API gateway, an OCPP Central System as a first-class service (not bolted onto the REST API), and an event backbone decoupling session events from billing/notifications/analytics.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250"/>
      </w:tblGrid>
      <w:tr>
        <w:tc>
          <w:tcPr>
            <w:tcW w:type="dxa" w:w="1800"/>
            <w:shd w:fill="1F6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00"/>
            <w:shd w:fill="1F6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250"/>
            <w:shd w:fill="1F6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iOS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Swift + SwiftUI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native BLE/NFC for RFID tap-to-charge, background location, push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Android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Kotlin + Jetpack Compose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same rationale; larger EV driver share in most regions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Web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Next.js + TypeScript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SSR for station-search SEO; shared components across driver-web + dashboards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NestJS (Node) or Spring Boot (Java)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mature OCPP libraries in both ecosystems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Realtime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OCPP 1.6J/2.0.1 over WebSocket + MQTT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chargers speak OCPP; MQTT for IoT telemetry fan-out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relational integrity for billing; Redis for live station state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Kafka or RabbitMQ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decouples session events from billing/notifications/analytics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Payments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Stripe / Razorpay / PayU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PSP owns PCI scope — never touch raw card data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Maps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Google Maps Platform or Mapbox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discovery + route planning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Infra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AWS/GCP, Docker + Kubernetes/ECS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scale API and WebSocket layers independently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OAuth2/OIDC — Auth0 or Keycloak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social + email/password + corporate SSO for fleets</w:t>
            </w:r>
          </w:p>
        </w:tc>
      </w:tr>
    </w:tbl>
    <w:p>
      <w:pPr>
        <w:pStyle w:val="Heading2"/>
        <w:spacing w:after="120" w:before="260"/>
      </w:pPr>
      <w:r>
        <w:t xml:space="preserve">3.1 OCPP Central System — the component most teams underbuild</w:t>
      </w:r>
    </w:p>
    <w:p>
      <w:pPr>
        <w:spacing w:after="120"/>
      </w:pPr>
      <w:r>
        <w:t xml:space="preserve">Physical chargers do not call your REST API. They speak OCPP over a persistent WebSocket to a Central System component your backend owns: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Accepts BootNotification when a station comes online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Sends RemoteStartTransaction / RemoteStopTransaction — this is what the app's "Start charging" button actually triggers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Receives MeterValues periodically during a session — the live kWh/cost readout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Receives StatusNotification for connector state changes (available/occupied/faulted)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Evaluate an open-source Central System (e.g. SteVe) before building one from scratch. Hardware vendors (ABB, Wallbox, ChargePoint hardware) generally support OCPP, but not identically — budget integration-testing time per vendor.</w:t>
      </w:r>
    </w:p>
    <w:p>
      <w:pPr>
        <w:pStyle w:val="Heading1"/>
        <w:spacing w:after="160" w:before="360"/>
      </w:pPr>
      <w:r>
        <w:t xml:space="preserve">4. Core data model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F6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150"/>
            <w:shd w:fill="1F6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User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id, name, email, phone, role, payment_methods, rfid_card_id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Vehicle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id, user_id (nullable if fleet-owned), make, model, connector_type, battery_capacity_kwh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Station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id, operator_id, name, address, lat/lng, status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Connector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id, station_id, type (CCS/CHAdeMO/Type2/NACS), power_kw, status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Session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id, user_id, connector_id, vehicle_id, start_time, end_time, energy_kwh, cost, status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Tariff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id, operator_id, pricing_model, rate, time_of_day_rules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id, user_id, connector_id, start_time, expiry_time, status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Payment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id, session_id, amount, method, status, invoice_id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Fleet / FleetVehicle / FleetDriver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links companies to vehicles and drivers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MaintenanceTicket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id, station_id, connector_id, issue, status, assigned_to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Full DDL is provided separately as schema.sql; OpenAPI contract as api-spec.yaml.</w:t>
      </w:r>
    </w:p>
    <w:p>
      <w:pPr>
        <w:pStyle w:val="Heading1"/>
        <w:spacing w:after="160" w:before="360"/>
      </w:pPr>
      <w:r>
        <w:t xml:space="preserve">5. Non-functional requirements (the FAANG-level bar)</w:t>
      </w:r>
    </w:p>
    <w:p>
      <w:pPr>
        <w:pStyle w:val="Heading2"/>
        <w:spacing w:after="120" w:before="260"/>
      </w:pPr>
      <w:r>
        <w:t xml:space="preserve">5.1 Reliability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dropped WebSocket to a charger mid-session must never corrupt billing — reconcile session state from MeterValues history, not from live connection state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RemoteStartTransaction call is idempotent (client-generated idempotency key) — a retried tap must not double-start a session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explicit UX for a station that is physically online but has lost backend connectivity — don't let the app silently show stale 'available'</w:t>
      </w:r>
    </w:p>
    <w:p>
      <w:pPr>
        <w:pStyle w:val="Heading2"/>
        <w:spacing w:after="120" w:before="260"/>
      </w:pPr>
      <w:r>
        <w:t xml:space="preserve">5.2 Security &amp; compliance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PCI-DSS scope minimized: PSP-hosted fields/SDKs in all three clients, raw card data never touches our servers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RBAC enforced server-side from signed JWT claims; client-side role checks are UX only, never authorization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limiting and anomaly detection on RemoteStartTransaction to prevent charge-fraud (starting sessions on stolen RFID/QR)</w:t>
      </w:r>
    </w:p>
    <w:p>
      <w:pPr>
        <w:pStyle w:val="Heading2"/>
        <w:spacing w:after="120" w:before="260"/>
      </w:pPr>
      <w:r>
        <w:t xml:space="preserve">5.3 Observability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Distributed tracing across REST API → Kafka → OCPP Central System, correlated by session_id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SLO dashboards per layer (API, WebSocket, PSP webhook latency) with automated paging on burn-rate, not just static thresholds</w:t>
      </w:r>
    </w:p>
    <w:p>
      <w:pPr>
        <w:pStyle w:val="Heading2"/>
        <w:spacing w:after="120" w:before="260"/>
      </w:pPr>
      <w:r>
        <w:t xml:space="preserve">5.4 Scalability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and WebSocket layers scale independently — a WebSocket fleet spike (mass BootNotification after a power outage) must not degrade REST latency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Station availability reads served from Redis, never hitting Postgres on the hot path</w:t>
      </w:r>
    </w:p>
    <w:p>
      <w:pPr>
        <w:pStyle w:val="Heading1"/>
        <w:spacing w:after="160" w:before="360"/>
      </w:pPr>
      <w:r>
        <w:t xml:space="preserve">6. Build phases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50"/>
      </w:tblGrid>
      <w:tr>
        <w:tc>
          <w:tcPr>
            <w:tcW w:type="dxa" w:w="2000"/>
            <w:shd w:fill="1F6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shd w:fill="1F6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150"/>
            <w:shd w:fill="1F6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 — Foundations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4–6 wks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architecture finalization, OCPP Central System spike/vendor eval, auth, core data model, CI/CD for 3 codebases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 — MVP driver app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10–14 wks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station search + map, single-connector start/stop via pilot station, payment integration, basic history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2 — Operator dashboard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6–8 wks, overlaps Phase 1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station management, live status, tariffs, basic analytics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3 — Scale features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ongoing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reservations, route planning, fleet module, loyalty pricing, multi-operator marketplace</w:t>
            </w:r>
          </w:p>
        </w:tc>
      </w:tr>
    </w:tbl>
    <w:p>
      <w:pPr>
        <w:pStyle w:val="Heading1"/>
        <w:spacing w:after="160" w:before="360"/>
      </w:pPr>
      <w:r>
        <w:t xml:space="preserve">7. Differentiation roadmap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None of these are secret — dynamic pricing, V2G, and AI demand forecasting are active 2026 industry directions. The advantage is sequencing them coherently instead of scattering across point solutions.</w:t>
      </w:r>
    </w:p>
    <w:p>
      <w:pPr>
        <w:pStyle w:val="Heading2"/>
        <w:spacing w:after="120" w:before="260"/>
      </w:pPr>
      <w:r>
        <w:t xml:space="preserve">Wedge — ship inside Phase 1–2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Per-connector reliability score + guaranteed-charge insurance: attacks the industry's biggest unsolved trust problem, buildable from data already collected (MeterValues, StatusNotification history)</w:t>
      </w:r>
    </w:p>
    <w:p>
      <w:pPr>
        <w:pStyle w:val="Heading2"/>
        <w:spacing w:after="120" w:before="260"/>
      </w:pPr>
      <w:r>
        <w:t xml:space="preserve">Phase 3 additions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Battery health-aware charging, predictive slot availability, carbon-timed charging — improve as session data accumulates</w:t>
      </w:r>
    </w:p>
    <w:p>
      <w:pPr>
        <w:pStyle w:val="Heading2"/>
        <w:spacing w:after="120" w:before="260"/>
      </w:pPr>
      <w:r>
        <w:t xml:space="preserve">Phase 4+ (hardware/partner dependent)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V2G/V2H marketplace, community microgrid mode, local business partnerships</w:t>
      </w:r>
    </w:p>
    <w:p>
      <w:pPr>
        <w:pStyle w:val="Heading1"/>
        <w:spacing w:after="160" w:before="360"/>
      </w:pPr>
      <w:r>
        <w:t xml:space="preserve">8. Key risks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1F6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150"/>
            <w:shd w:fill="1F6F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Hardware variability across OCPP vendors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Budget integration-testing time per vendor; don't assume spec compliance = behavioral compliance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Payment compliance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PSP-hosted fields/SDKs everywhere; never expand PCI scope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Real-time reliability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Reconcile billing from MeterValues history, not live connection state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Offline-but-online stations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Explicit UX decision required — treat as a first-class state, not an edge case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6F5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2026-07-06T11:59:40.662Z</dcterms:created>
  <dcterms:modified xsi:type="dcterms:W3CDTF">2026-07-06T11:59:40.663Z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