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576"/>
          <w:szCs w:val="576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1B2A"/>
          <w:sz w:val="64"/>
          <w:szCs w:val="64"/>
        </w:rPr>
        <w:t xml:space="preserve">Credit Card Fraud Detection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1B7F8E"/>
          <w:sz w:val="28"/>
          <w:szCs w:val="28"/>
        </w:rPr>
        <w:t xml:space="preserve">ML Pipeline for Identifying Fraudulent Transactions with Class Imbalance Handling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Arun Teja Vemula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Kaggle — Credit Card Fraud Detection (ULB Machine Learning Group)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Introduction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Banking fraud poses a massive financial threat — estimated to cost over $30 billion globally by 2020 (Nilson Report). Every fraudulent transaction is a direct loss for the bank, and the challenge is detecting that fraud automatically, in real-time, without flagging thousands of legitimate transactions.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report documents a complete machine learning pipeline to classify credit card transactions as fraudulent or legitimate from anonymized transaction features — using multiple ML algorithms with a focused approach to handling extreme class imbalance.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The Problem: Extreme Class Imbalance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dataset contains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284,807 transactions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spanning two days (September 2013, European cardholders). Of these, only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492 are fraudulent — just 0.172%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of all transactions. This extreme class imbalance is the central challenge of the project.</w:t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7F8E"/>
          <w:sz w:val="24"/>
          <w:szCs w:val="24"/>
        </w:rPr>
        <w:t xml:space="preserve">Dataset Summary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284,807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Fraudulent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492 (0.172%)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Legitimate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284,315 (99.828%)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(V1–V28 + Time + Amount)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Key challenge: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Standard accuracy is a misleading metric. A naive classifier that predicts "not fraud" for every transaction achieves 99.83% accuracy — but catches zero fraud cases. The problem requires fraud-specific metrics.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Why Standard Models Fail on Imbalanced Data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naive classifier trained on raw imbalanced data will learn to predict "not fraud" every time. This gets 99.8% accuracy but 0% recall on fraud — completely useless for the actual task.</w:t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7F8E"/>
          <w:sz w:val="24"/>
          <w:szCs w:val="24"/>
        </w:rPr>
        <w:t xml:space="preserve">Metric Selection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ROC-AUC (Area Under the ROC Curve)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was chosen as the primary metric. It measures the model's ability to rank fraud above legitimate transactions regardless of the decision threshold — far more informative than accuracy for imbalanced classification.</w:t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7F8E"/>
          <w:sz w:val="24"/>
          <w:szCs w:val="24"/>
        </w:rPr>
        <w:t xml:space="preserve">Imbalance Handling Techniques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Raw imbalanced data — train models as-is, then apply threshold tuning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Undersampling — RandomUnderSampler to balance classes by reducing the majority class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Oversampling — SMOTE (Synthetic Minority Oversampling Technique) to generate synthetic fraud samples using nearest neighbors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Adasyn — Adaptive density oversampling, a variant of SMOTE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Methodology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B8A"/>
          <w:sz w:val="28"/>
          <w:szCs w:val="28"/>
        </w:rPr>
        <w:t xml:space="preserve">Phase 1 — Data Preparation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Train/test split with stratification to preserve the 0.172% fraud ratio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StandardScaler applied to Amount and Time (V1–V28 are already PCA-scaled)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PowerTransformer to correct skewness in features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B8A"/>
          <w:sz w:val="28"/>
          <w:szCs w:val="28"/>
        </w:rPr>
        <w:t xml:space="preserve">Phase 2 — Outlier Treatment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outliers in the fraud class using the IQR (Interquartile Range) method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extreme outliers to reduce noise in the minority class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Rationale: the fraud class is already small; outliers within it add noise without signal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B8A"/>
          <w:sz w:val="28"/>
          <w:szCs w:val="28"/>
        </w:rPr>
        <w:t xml:space="preserve">Phase 3 — Model Building</w:t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models were trained and evaluated on the raw imbalanced dataset: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GridSearchCV, KFold=5, tuned C parameter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XGBoost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Gradient boosted trees, handles imbalance natively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tree with pruning via max_depth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 of decision trees, bagging-based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Additional experiments on balanced data: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Undersampling: RandomUnderSampler → Logistic Regression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Oversampling: SMOTE → Logistic Regression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B8A"/>
          <w:sz w:val="28"/>
          <w:szCs w:val="28"/>
        </w:rPr>
        <w:t xml:space="preserve">Phase 4 — Threshold Tuning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Plot the FPR (False Positive Rate) vs. TPR (True Positive Rate) curve for each model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optimal threshold that maximizes fraud recall while keeping FPR acceptable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context determines the trade-off: banks may tolerate more false positives to catch more fraud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Results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B8A"/>
          <w:sz w:val="28"/>
          <w:szCs w:val="28"/>
        </w:rPr>
        <w:t xml:space="preserve">Model Performance Comparison (Imbalanced Data)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ROC-AUC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ROC-AUC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~0.98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~0.97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XGBoost ★ Best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1.00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~0.95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~0.93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~0.99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~0.97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B8A"/>
          <w:sz w:val="28"/>
          <w:szCs w:val="28"/>
        </w:rPr>
        <w:t xml:space="preserve">Why XGBoost Won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Highest test ROC-AUC: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XGBoost achieved 0.98 on the held-out test set, the best of all models.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Handles imbalance natively: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XGBoost's gradient boosting framework weights errors from the minority class more heavily.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Margin matters at scale: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0.01 AUC edge over Logistic Regression (0.97) translates to thousands of correctly identified fraud cases at banking transaction volumes.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Caveat: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XGBoost is significantly more resource-intensive than Logistic Regression and requires hyperparameter tuning.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Key Findings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16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XGBoost is the best model.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Test ROC-AUC of 0.98, narrowly beating Logistic Regression (0.97) and Random Forest (0.97). At banking scale, even a 0.01 AUC improvement represents substantial monetary value.</w:t>
      </w:r>
    </w:p>
    <w:p>
      <w:pPr>
        <w:pStyle w:val="ListParagraph"/>
        <w:numPr>
          <w:ilvl w:val="0"/>
          <w:numId w:val="3"/>
        </w:numPr>
        <w:spacing w:after="16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Threshold tuning is critical.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default 0.5 classification threshold is wrong for fraud detection. Shifting the threshold toward lower values dramatically increases recall at the cost of more false positives. The right trade-off is determined by business context (cost of fraud vs. cost of false alerts).</w:t>
      </w:r>
    </w:p>
    <w:p>
      <w:pPr>
        <w:pStyle w:val="ListParagraph"/>
        <w:numPr>
          <w:ilvl w:val="0"/>
          <w:numId w:val="3"/>
        </w:numPr>
        <w:spacing w:after="16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SMOTE outperforms undersampling.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Undersampling discards 99%+ of the available data. SMOTE generates synthetic minority samples, preserving information and achieving better generalization on the test set.</w:t>
      </w:r>
    </w:p>
    <w:p>
      <w:pPr>
        <w:pStyle w:val="ListParagraph"/>
        <w:numPr>
          <w:ilvl w:val="0"/>
          <w:numId w:val="3"/>
        </w:numPr>
        <w:spacing w:after="16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Feature V14 is the strongest predictor.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XGBoost feature importance shows V14 (a PCA-anonymized component of the original transaction features) contributes most to fraud prediction, followed by V4, V10, and V12.</w:t>
      </w:r>
    </w:p>
    <w:p>
      <w:pPr>
        <w:pStyle w:val="ListParagraph"/>
        <w:numPr>
          <w:ilvl w:val="0"/>
          <w:numId w:val="3"/>
        </w:numPr>
        <w:spacing w:after="16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KNN excluded.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K-Nearest Neighbors is not memory-efficient at 284,807 rows — too slow for production and impractical for this dataset size.</w:t>
      </w:r>
    </w:p>
    <w:p>
      <w:pPr>
        <w:pStyle w:val="ListParagraph"/>
        <w:numPr>
          <w:ilvl w:val="0"/>
          <w:numId w:val="3"/>
        </w:numPr>
        <w:spacing w:after="160" w:before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SVM excluded.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Support Vector Machine is computationally expensive at this scale — not practical without heavy kernel tuning and dimensionality reduction.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Conclusion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Credit card fraud detection is a solved problem at the research level but a challenging engineering problem in practice. This pipeline delivered: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Processed 284,807 transactions across 30 features with no missing values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Handled severe class imbalance (0.172% fraud) using undersampling and SMOTE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Evaluated Logistic Regression, XGBoost, Decision Tree, and Random Forest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 result: XGBoost with ROC-AUC 0.98 on held-out test data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Applied threshold optimization to maximize fraud recall for real-world deployment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critical insight is that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accuracy is the wrong metric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imbalanced classification. ROC-AUC and recall are what matter. Fine-tuning the decision threshold is equally important as model selection — the optimal threshold is determined by the relative business cost of false positives versus missed fraud.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B8A"/>
          <w:sz w:val="28"/>
          <w:szCs w:val="28"/>
        </w:rPr>
        <w:t xml:space="preserve">Future Work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Neural network approach: LSTM for sequential transaction pattern modeling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Cost-sensitive learning: penalize missed fraud more heavily than false positives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streaming inference pipeline: Kafka + model server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Ensemble of XGBoost + Logistic Regression for improved robustness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References</w:t>
      </w:r>
    </w:p>
    <w:p>
      <w:pPr>
        <w:pBdr>
          <w:bottom w:val="single" w:color="1B7F8E" w:sz="8" w:space="4"/>
        </w:pBdr>
        <w:spacing w:after="0" w:before="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Dal Pozzolo, A., Caelen, O., Johnson, R. A., &amp; Bontempi, G. (2015). Calibrating probability with undersampling for unbalanced classification. IEEE Symposium Series on Computational Intelligence, 159–166.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Chawla, N. V., Bowyer, K. W., Hall, L. O., &amp; Kegelmeyer, W. P. (2002). SMOTE: Synthetic minority over-sampling technique. Journal of Artificial Intelligence Research, 16, 321–357.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Chen, T., &amp; Guestrin, C. (2016). XGBoost: A scalable tree boosting system. Proceedings of the 22nd ACM SIGKDD, 785–794.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Machine Learning Group — ULB. (2018).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Credit card fraud detection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[Dataset]. Kaggle. </w:t>
      </w:r>
      <w:hyperlink w:history="1" r:id="rIdrb4uwzqrqyhto959akvrr">
        <w:r>
          <w:rPr>
            <w:rFonts w:ascii="Arial" w:cs="Arial" w:eastAsia="Arial" w:hAnsi="Arial"/>
            <w:color w:val="1B7F8E"/>
            <w:sz w:val="22"/>
            <w:szCs w:val="22"/>
            <w:u w:val="single"/>
          </w:rPr>
          <w:t xml:space="preserve">https://www.kaggle.com/datasets/mlg-ulb/creditcardfraud</w:t>
        </w:r>
      </w:hyperlink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Nilson Report. (2019). Card fraud losses worldwide. HSN Consultants, Inc.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Pedregosa, F., et al. (2011). Scikit-learn: Machine learning in Python. Journal of Machine Learning Research, 12, 2825–2830.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F8E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F8E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Credit Card Fraud Detection</w:t>
    </w:r>
    <w:r>
      <w:rPr>
        <w:rFonts w:ascii="Arial" w:cs="Arial" w:eastAsia="Arial" w:hAnsi="Arial"/>
        <w:color w:val="6B7280"/>
        <w:sz w:val="18"/>
        <w:szCs w:val="18"/>
      </w:rPr>
      <w:t xml:space="preserve">  |  Arun Teja Vemula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7F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b4uwzqrqyhto959akvrr" Type="http://schemas.openxmlformats.org/officeDocument/2006/relationships/hyperlink" Target="https://www.kaggle.com/datasets/mlg-ulb/creditcardfrau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2026-06-09T17:45:21.101Z</dcterms:created>
  <dcterms:modified xsi:type="dcterms:W3CDTF">2026-06-09T17:45:21.101Z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