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E06C00"/>
          <w:sz w:val="56"/>
          <w:szCs w:val="56"/>
        </w:rPr>
        <w:t xml:space="preserve">Orbit Launcher</w:t>
      </w:r>
    </w:p>
    <w:p>
      <w:pPr>
        <w:spacing w:after="100" w:before="100"/>
        <w:jc w:val="center"/>
      </w:pPr>
      <w:r>
        <w:rPr>
          <w:rFonts w:ascii="Calibri" w:cs="Calibri" w:eastAsia="Calibri" w:hAnsi="Calibri"/>
          <w:color w:val="2563EB"/>
          <w:sz w:val="28"/>
          <w:szCs w:val="28"/>
        </w:rPr>
        <w:t xml:space="preserve">Full-Stack Subscription Tracker</w:t>
      </w:r>
    </w:p>
    <w:p>
      <w:pPr>
        <w:spacing w:after="100" w:before="100"/>
        <w:jc w:val="center"/>
      </w:pPr>
      <w:r>
        <w:rPr>
          <w:rFonts w:ascii="Calibri" w:cs="Calibri" w:eastAsia="Calibri" w:hAnsi="Calibri"/>
          <w:color w:val="6B7280"/>
          <w:sz w:val="20"/>
          <w:szCs w:val="20"/>
        </w:rPr>
        <w:t xml:space="preserve">React · TypeScript · FastAPI · Python · PostgreSQL</w:t>
      </w:r>
    </w:p>
    <w:p>
      <w:pPr>
        <w:spacing w:after="400" w:before="60"/>
        <w:jc w:val="center"/>
      </w:pPr>
      <w:r>
        <w:rPr>
          <w:rFonts w:ascii="Calibri" w:cs="Calibri" w:eastAsia="Calibri" w:hAnsi="Calibri"/>
          <w:color w:val="6B7280"/>
          <w:sz w:val="18"/>
          <w:szCs w:val="18"/>
        </w:rPr>
        <w:t xml:space="preserve">Arun Teja Vemula  |  remio-alpha.vercel.app</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1. Introduction</w:t>
      </w:r>
    </w:p>
    <w:p>
      <w:pPr>
        <w:spacing w:after="80" w:before="80"/>
      </w:pPr>
      <w:r>
        <w:rPr>
          <w:rFonts w:ascii="Calibri" w:cs="Calibri" w:eastAsia="Calibri" w:hAnsi="Calibri"/>
          <w:sz w:val="20"/>
          <w:szCs w:val="20"/>
        </w:rPr>
        <w:t xml:space="preserve">Orbit Launcher is a production-deployed, full-stack web application for tracking SaaS subscriptions, app trials, and billing renewals. It is designed to solve a real problem: most professionals accumulate 10–30 active subscriptions across multiple billing cycles, with no central view of what they're paying for, when trials end, or which tools they actually use.</w:t>
      </w:r>
    </w:p>
    <w:p>
      <w:pPr>
        <w:spacing w:after="100" w:before="100"/>
      </w:pPr>
    </w:p>
    <w:p>
      <w:pPr>
        <w:spacing w:after="80" w:before="80"/>
      </w:pPr>
      <w:r>
        <w:rPr>
          <w:rFonts w:ascii="Calibri" w:cs="Calibri" w:eastAsia="Calibri" w:hAnsi="Calibri"/>
          <w:sz w:val="20"/>
          <w:szCs w:val="20"/>
        </w:rPr>
        <w:t xml:space="preserve">The application is live at remio-alpha.vercel.app and demonstrates end-to-end engineering capability across a full modern stack.</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2. Key Features</w:t>
      </w:r>
    </w:p>
    <w:p>
      <w:pPr>
        <w:pStyle w:val="ListParagraph"/>
        <w:numPr>
          <w:ilvl w:val="0"/>
          <w:numId w:val="1"/>
        </w:numPr>
        <w:spacing w:after="60" w:before="60"/>
      </w:pPr>
      <w:r>
        <w:rPr>
          <w:rFonts w:ascii="Calibri" w:cs="Calibri" w:eastAsia="Calibri" w:hAnsi="Calibri"/>
          <w:b w:val="false"/>
          <w:bCs w:val="false"/>
          <w:sz w:val="20"/>
          <w:szCs w:val="20"/>
        </w:rPr>
        <w:t xml:space="preserve">App Grid Dashboard — Visual overview with urgency badges for expiring trials and upcoming renewals</w:t>
      </w:r>
    </w:p>
    <w:p>
      <w:pPr>
        <w:pStyle w:val="ListParagraph"/>
        <w:numPr>
          <w:ilvl w:val="0"/>
          <w:numId w:val="1"/>
        </w:numPr>
        <w:spacing w:after="60" w:before="60"/>
      </w:pPr>
      <w:r>
        <w:rPr>
          <w:rFonts w:ascii="Calibri" w:cs="Calibri" w:eastAsia="Calibri" w:hAnsi="Calibri"/>
          <w:b w:val="false"/>
          <w:bCs w:val="false"/>
          <w:sz w:val="20"/>
          <w:szCs w:val="20"/>
        </w:rPr>
        <w:t xml:space="preserve">Subscription Management — Add, edit, and delete apps with custom categories, billing frequency, and cost</w:t>
      </w:r>
    </w:p>
    <w:p>
      <w:pPr>
        <w:pStyle w:val="ListParagraph"/>
        <w:numPr>
          <w:ilvl w:val="0"/>
          <w:numId w:val="1"/>
        </w:numPr>
        <w:spacing w:after="60" w:before="60"/>
      </w:pPr>
      <w:r>
        <w:rPr>
          <w:rFonts w:ascii="Calibri" w:cs="Calibri" w:eastAsia="Calibri" w:hAnsi="Calibri"/>
          <w:b w:val="false"/>
          <w:bCs w:val="false"/>
          <w:sz w:val="20"/>
          <w:szCs w:val="20"/>
        </w:rPr>
        <w:t xml:space="preserve">Calendar View — Monthly view of renewals and trial end dates</w:t>
      </w:r>
    </w:p>
    <w:p>
      <w:pPr>
        <w:pStyle w:val="ListParagraph"/>
        <w:numPr>
          <w:ilvl w:val="0"/>
          <w:numId w:val="1"/>
        </w:numPr>
        <w:spacing w:after="60" w:before="60"/>
      </w:pPr>
      <w:r>
        <w:rPr>
          <w:rFonts w:ascii="Calibri" w:cs="Calibri" w:eastAsia="Calibri" w:hAnsi="Calibri"/>
          <w:b w:val="false"/>
          <w:bCs w:val="false"/>
          <w:sz w:val="20"/>
          <w:szCs w:val="20"/>
        </w:rPr>
        <w:t xml:space="preserve">Insights &amp; Spending — Total spend, budget utilization, and tool usage frequency analytics</w:t>
      </w:r>
    </w:p>
    <w:p>
      <w:pPr>
        <w:pStyle w:val="ListParagraph"/>
        <w:numPr>
          <w:ilvl w:val="0"/>
          <w:numId w:val="1"/>
        </w:numPr>
        <w:spacing w:after="60" w:before="60"/>
      </w:pPr>
      <w:r>
        <w:rPr>
          <w:rFonts w:ascii="Calibri" w:cs="Calibri" w:eastAsia="Calibri" w:hAnsi="Calibri"/>
          <w:b w:val="false"/>
          <w:bCs w:val="false"/>
          <w:sz w:val="20"/>
          <w:szCs w:val="20"/>
        </w:rPr>
        <w:t xml:space="preserve">Renewal Alerts — Automated email and web push notifications before charges hit</w:t>
      </w:r>
    </w:p>
    <w:p>
      <w:pPr>
        <w:pStyle w:val="ListParagraph"/>
        <w:numPr>
          <w:ilvl w:val="0"/>
          <w:numId w:val="1"/>
        </w:numPr>
        <w:spacing w:after="60" w:before="60"/>
      </w:pPr>
      <w:r>
        <w:rPr>
          <w:rFonts w:ascii="Calibri" w:cs="Calibri" w:eastAsia="Calibri" w:hAnsi="Calibri"/>
          <w:b w:val="false"/>
          <w:bCs w:val="false"/>
          <w:sz w:val="20"/>
          <w:szCs w:val="20"/>
        </w:rPr>
        <w:t xml:space="preserve">Usage Tracking — Logs when apps are launched to surface tools that are never used</w:t>
      </w:r>
    </w:p>
    <w:p>
      <w:pPr>
        <w:pStyle w:val="ListParagraph"/>
        <w:numPr>
          <w:ilvl w:val="0"/>
          <w:numId w:val="1"/>
        </w:numPr>
        <w:spacing w:after="60" w:before="60"/>
      </w:pPr>
      <w:r>
        <w:rPr>
          <w:rFonts w:ascii="Calibri" w:cs="Calibri" w:eastAsia="Calibri" w:hAnsi="Calibri"/>
          <w:b w:val="false"/>
          <w:bCs w:val="false"/>
          <w:sz w:val="20"/>
          <w:szCs w:val="20"/>
        </w:rPr>
        <w:t xml:space="preserve">JWT Auth — Secure authentication with cookie and Bearer token dual delivery</w:t>
      </w:r>
    </w:p>
    <w:p>
      <w:pPr>
        <w:pStyle w:val="ListParagraph"/>
        <w:numPr>
          <w:ilvl w:val="0"/>
          <w:numId w:val="1"/>
        </w:numPr>
        <w:spacing w:after="60" w:before="60"/>
      </w:pPr>
      <w:r>
        <w:rPr>
          <w:rFonts w:ascii="Calibri" w:cs="Calibri" w:eastAsia="Calibri" w:hAnsi="Calibri"/>
          <w:b w:val="false"/>
          <w:bCs w:val="false"/>
          <w:sz w:val="20"/>
          <w:szCs w:val="20"/>
        </w:rPr>
        <w:t xml:space="preserve">Developer API Keys — Programmatic access to subscription data</w:t>
      </w:r>
    </w:p>
    <w:p>
      <w:pPr>
        <w:pStyle w:val="ListParagraph"/>
        <w:numPr>
          <w:ilvl w:val="0"/>
          <w:numId w:val="1"/>
        </w:numPr>
        <w:spacing w:after="60" w:before="60"/>
      </w:pPr>
      <w:r>
        <w:rPr>
          <w:rFonts w:ascii="Calibri" w:cs="Calibri" w:eastAsia="Calibri" w:hAnsi="Calibri"/>
          <w:b w:val="false"/>
          <w:bCs w:val="false"/>
          <w:sz w:val="20"/>
          <w:szCs w:val="20"/>
        </w:rPr>
        <w:t xml:space="preserve">Cross-Platform — Web, PWA, Electron desktop, and Capacitor mobile from a single codebase</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3. Architecture</w:t>
      </w:r>
    </w:p>
    <w:p>
      <w:pPr>
        <w:spacing w:after="80" w:before="80"/>
      </w:pPr>
      <w:r>
        <w:rPr>
          <w:rFonts w:ascii="Calibri" w:cs="Calibri" w:eastAsia="Calibri" w:hAnsi="Calibri"/>
          <w:sz w:val="20"/>
          <w:szCs w:val="20"/>
        </w:rPr>
        <w:t xml:space="preserve">Orbit Launcher is built on a decoupled client-server architecture. The React SPA communicates exclusively with the FastAPI backend over HTTPS with JWT authentication. The backend integrates with PostgreSQL for persistence, Redis for the background job queue, and third-party services for email and push delivery.</w:t>
      </w:r>
    </w:p>
    <w:p>
      <w:pPr>
        <w:spacing w:after="100" w:before="100"/>
      </w:pPr>
    </w:p>
    <w:p>
      <w:pPr>
        <w:pStyle w:val="Heading2"/>
        <w:spacing w:after="80" w:before="200"/>
      </w:pPr>
      <w:r>
        <w:rPr>
          <w:rFonts w:ascii="Calibri" w:cs="Calibri" w:eastAsia="Calibri" w:hAnsi="Calibri"/>
          <w:b/>
          <w:bCs/>
          <w:color w:val="2563EB"/>
          <w:sz w:val="24"/>
          <w:szCs w:val="24"/>
        </w:rPr>
        <w:t xml:space="preserve">Data Flow</w:t>
      </w:r>
    </w:p>
    <w:p>
      <w:pPr>
        <w:shd w:color="F3F4F6" w:val="solid"/>
        <w:spacing w:after="60" w:before="60"/>
        <w:ind w:left="360"/>
      </w:pPr>
      <w:r>
        <w:rPr>
          <w:rFonts w:ascii="Courier New" w:cs="Courier New" w:eastAsia="Courier New" w:hAnsi="Courier New"/>
          <w:color w:val="1F2937"/>
          <w:sz w:val="18"/>
          <w:szCs w:val="18"/>
        </w:rPr>
        <w:t xml:space="preserve">React SPA  ──►  FastAPI backend  ──►  PostgreSQL (asyncpg)</w:t>
      </w:r>
    </w:p>
    <w:p>
      <w:pPr>
        <w:shd w:color="F3F4F6" w:val="solid"/>
        <w:spacing w:after="60" w:before="60"/>
        <w:ind w:left="360"/>
      </w:pPr>
      <w:r>
        <w:rPr>
          <w:rFonts w:ascii="Courier New" w:cs="Courier New" w:eastAsia="Courier New" w:hAnsi="Courier New"/>
          <w:color w:val="1F2937"/>
          <w:sz w:val="18"/>
          <w:szCs w:val="18"/>
        </w:rPr>
        <w:t xml:space="preserve">                     │</w:t>
      </w:r>
    </w:p>
    <w:p>
      <w:pPr>
        <w:shd w:color="F3F4F6" w:val="solid"/>
        <w:spacing w:after="60" w:before="60"/>
        <w:ind w:left="360"/>
      </w:pPr>
      <w:r>
        <w:rPr>
          <w:rFonts w:ascii="Courier New" w:cs="Courier New" w:eastAsia="Courier New" w:hAnsi="Courier New"/>
          <w:color w:val="1F2937"/>
          <w:sz w:val="18"/>
          <w:szCs w:val="18"/>
        </w:rPr>
        <w:t xml:space="preserve">                     ├──►  Arq task queue  ──►  Redis</w:t>
      </w:r>
    </w:p>
    <w:p>
      <w:pPr>
        <w:shd w:color="F3F4F6" w:val="solid"/>
        <w:spacing w:after="60" w:before="60"/>
        <w:ind w:left="360"/>
      </w:pPr>
      <w:r>
        <w:rPr>
          <w:rFonts w:ascii="Courier New" w:cs="Courier New" w:eastAsia="Courier New" w:hAnsi="Courier New"/>
          <w:color w:val="1F2937"/>
          <w:sz w:val="18"/>
          <w:szCs w:val="18"/>
        </w:rPr>
        <w:t xml:space="preserve">                     ├──►  Email (transactional)</w:t>
      </w:r>
    </w:p>
    <w:p>
      <w:pPr>
        <w:shd w:color="F3F4F6" w:val="solid"/>
        <w:spacing w:after="60" w:before="60"/>
        <w:ind w:left="360"/>
      </w:pPr>
      <w:r>
        <w:rPr>
          <w:rFonts w:ascii="Courier New" w:cs="Courier New" w:eastAsia="Courier New" w:hAnsi="Courier New"/>
          <w:color w:val="1F2937"/>
          <w:sz w:val="18"/>
          <w:szCs w:val="18"/>
        </w:rPr>
        <w:t xml:space="preserve">                     └──►  Web Push API</w:t>
      </w:r>
    </w:p>
    <w:p>
      <w:pPr>
        <w:spacing w:after="100" w:before="100"/>
      </w:pPr>
    </w:p>
    <w:p>
      <w:pPr>
        <w:pStyle w:val="Heading2"/>
        <w:spacing w:after="80" w:before="200"/>
      </w:pPr>
      <w:r>
        <w:rPr>
          <w:rFonts w:ascii="Calibri" w:cs="Calibri" w:eastAsia="Calibri" w:hAnsi="Calibri"/>
          <w:b/>
          <w:bCs/>
          <w:color w:val="2563EB"/>
          <w:sz w:val="24"/>
          <w:szCs w:val="24"/>
        </w:rPr>
        <w:t xml:space="preserve">Directory Structure</w:t>
      </w:r>
    </w:p>
    <w:p>
      <w:pPr>
        <w:shd w:color="F3F4F6" w:val="solid"/>
        <w:spacing w:after="60" w:before="60"/>
        <w:ind w:left="360"/>
      </w:pPr>
      <w:r>
        <w:rPr>
          <w:rFonts w:ascii="Courier New" w:cs="Courier New" w:eastAsia="Courier New" w:hAnsi="Courier New"/>
          <w:color w:val="1F2937"/>
          <w:sz w:val="18"/>
          <w:szCs w:val="18"/>
        </w:rPr>
        <w:t xml:space="preserve">orbit-launcher/</w:t>
      </w:r>
    </w:p>
    <w:p>
      <w:pPr>
        <w:shd w:color="F3F4F6" w:val="solid"/>
        <w:spacing w:after="60" w:before="60"/>
        <w:ind w:left="360"/>
      </w:pPr>
      <w:r>
        <w:rPr>
          <w:rFonts w:ascii="Courier New" w:cs="Courier New" w:eastAsia="Courier New" w:hAnsi="Courier New"/>
          <w:color w:val="1F2937"/>
          <w:sz w:val="18"/>
          <w:szCs w:val="18"/>
        </w:rPr>
        <w:t xml:space="preserve">├── frontend/                   # React + TypeScript SPA</w:t>
      </w:r>
    </w:p>
    <w:p>
      <w:pPr>
        <w:shd w:color="F3F4F6" w:val="solid"/>
        <w:spacing w:after="60" w:before="60"/>
        <w:ind w:left="360"/>
      </w:pPr>
      <w:r>
        <w:rPr>
          <w:rFonts w:ascii="Courier New" w:cs="Courier New" w:eastAsia="Courier New" w:hAnsi="Courier New"/>
          <w:color w:val="1F2937"/>
          <w:sz w:val="18"/>
          <w:szCs w:val="18"/>
        </w:rPr>
        <w:t xml:space="preserve">│   └── src/</w:t>
      </w:r>
    </w:p>
    <w:p>
      <w:pPr>
        <w:shd w:color="F3F4F6" w:val="solid"/>
        <w:spacing w:after="60" w:before="60"/>
        <w:ind w:left="360"/>
      </w:pPr>
      <w:r>
        <w:rPr>
          <w:rFonts w:ascii="Courier New" w:cs="Courier New" w:eastAsia="Courier New" w:hAnsi="Courier New"/>
          <w:color w:val="1F2937"/>
          <w:sz w:val="18"/>
          <w:szCs w:val="18"/>
        </w:rPr>
        <w:t xml:space="preserve">│       ├── components/         # Reusable UI components</w:t>
      </w:r>
    </w:p>
    <w:p>
      <w:pPr>
        <w:shd w:color="F3F4F6" w:val="solid"/>
        <w:spacing w:after="60" w:before="60"/>
        <w:ind w:left="360"/>
      </w:pPr>
      <w:r>
        <w:rPr>
          <w:rFonts w:ascii="Courier New" w:cs="Courier New" w:eastAsia="Courier New" w:hAnsi="Courier New"/>
          <w:color w:val="1F2937"/>
          <w:sz w:val="18"/>
          <w:szCs w:val="18"/>
        </w:rPr>
        <w:t xml:space="preserve">│       ├── pages/              # Home, Insights, Calendar, Settings</w:t>
      </w:r>
    </w:p>
    <w:p>
      <w:pPr>
        <w:shd w:color="F3F4F6" w:val="solid"/>
        <w:spacing w:after="60" w:before="60"/>
        <w:ind w:left="360"/>
      </w:pPr>
      <w:r>
        <w:rPr>
          <w:rFonts w:ascii="Courier New" w:cs="Courier New" w:eastAsia="Courier New" w:hAnsi="Courier New"/>
          <w:color w:val="1F2937"/>
          <w:sz w:val="18"/>
          <w:szCs w:val="18"/>
        </w:rPr>
        <w:t xml:space="preserve">│       └── types.ts            # Shared TS interfaces</w:t>
      </w:r>
    </w:p>
    <w:p>
      <w:pPr>
        <w:shd w:color="F3F4F6" w:val="solid"/>
        <w:spacing w:after="60" w:before="60"/>
        <w:ind w:left="360"/>
      </w:pPr>
      <w:r>
        <w:rPr>
          <w:rFonts w:ascii="Courier New" w:cs="Courier New" w:eastAsia="Courier New" w:hAnsi="Courier New"/>
          <w:color w:val="1F2937"/>
          <w:sz w:val="18"/>
          <w:szCs w:val="18"/>
        </w:rPr>
        <w:t xml:space="preserve">├── backend/                    # FastAPI — Railway deployment</w:t>
      </w:r>
    </w:p>
    <w:p>
      <w:pPr>
        <w:shd w:color="F3F4F6" w:val="solid"/>
        <w:spacing w:after="60" w:before="60"/>
        <w:ind w:left="360"/>
      </w:pPr>
      <w:r>
        <w:rPr>
          <w:rFonts w:ascii="Courier New" w:cs="Courier New" w:eastAsia="Courier New" w:hAnsi="Courier New"/>
          <w:color w:val="1F2937"/>
          <w:sz w:val="18"/>
          <w:szCs w:val="18"/>
        </w:rPr>
        <w:t xml:space="preserve">│   ├── models/                 # SQLAlchemy ORM definitions</w:t>
      </w:r>
    </w:p>
    <w:p>
      <w:pPr>
        <w:shd w:color="F3F4F6" w:val="solid"/>
        <w:spacing w:after="60" w:before="60"/>
        <w:ind w:left="360"/>
      </w:pPr>
      <w:r>
        <w:rPr>
          <w:rFonts w:ascii="Courier New" w:cs="Courier New" w:eastAsia="Courier New" w:hAnsi="Courier New"/>
          <w:color w:val="1F2937"/>
          <w:sz w:val="18"/>
          <w:szCs w:val="18"/>
        </w:rPr>
        <w:t xml:space="preserve">│   ├── routers/                # auth, apps, insights, reminders, push, api-keys</w:t>
      </w:r>
    </w:p>
    <w:p>
      <w:pPr>
        <w:shd w:color="F3F4F6" w:val="solid"/>
        <w:spacing w:after="60" w:before="60"/>
        <w:ind w:left="360"/>
      </w:pPr>
      <w:r>
        <w:rPr>
          <w:rFonts w:ascii="Courier New" w:cs="Courier New" w:eastAsia="Courier New" w:hAnsi="Courier New"/>
          <w:color w:val="1F2937"/>
          <w:sz w:val="18"/>
          <w:szCs w:val="18"/>
        </w:rPr>
        <w:t xml:space="preserve">│   ├── schemas/                # Pydantic request/response models</w:t>
      </w:r>
    </w:p>
    <w:p>
      <w:pPr>
        <w:shd w:color="F3F4F6" w:val="solid"/>
        <w:spacing w:after="60" w:before="60"/>
        <w:ind w:left="360"/>
      </w:pPr>
      <w:r>
        <w:rPr>
          <w:rFonts w:ascii="Courier New" w:cs="Courier New" w:eastAsia="Courier New" w:hAnsi="Courier New"/>
          <w:color w:val="1F2937"/>
          <w:sz w:val="18"/>
          <w:szCs w:val="18"/>
        </w:rPr>
        <w:t xml:space="preserve">│   └── tasks/                  # Arq background jobs</w:t>
      </w:r>
    </w:p>
    <w:p>
      <w:pPr>
        <w:shd w:color="F3F4F6" w:val="solid"/>
        <w:spacing w:after="60" w:before="60"/>
        <w:ind w:left="360"/>
      </w:pPr>
      <w:r>
        <w:rPr>
          <w:rFonts w:ascii="Courier New" w:cs="Courier New" w:eastAsia="Courier New" w:hAnsi="Courier New"/>
          <w:color w:val="1F2937"/>
          <w:sz w:val="18"/>
          <w:szCs w:val="18"/>
        </w:rPr>
        <w:t xml:space="preserve">├── docs/                       # Feature specs</w:t>
      </w:r>
    </w:p>
    <w:p>
      <w:pPr>
        <w:shd w:color="F3F4F6" w:val="solid"/>
        <w:spacing w:after="60" w:before="60"/>
        <w:ind w:left="360"/>
      </w:pPr>
      <w:r>
        <w:rPr>
          <w:rFonts w:ascii="Courier New" w:cs="Courier New" w:eastAsia="Courier New" w:hAnsi="Courier New"/>
          <w:color w:val="1F2937"/>
          <w:sz w:val="18"/>
          <w:szCs w:val="18"/>
        </w:rPr>
        <w:t xml:space="preserve">└── docker-compose.yml          # Full-stack local dev</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4.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F2937" w:val="solid"/>
          </w:tcPr>
          <w:p>
            <w:r>
              <w:rPr>
                <w:rFonts w:ascii="Calibri" w:cs="Calibri" w:eastAsia="Calibri" w:hAnsi="Calibri"/>
                <w:b/>
                <w:bCs/>
                <w:color w:val="FFFFFF"/>
                <w:sz w:val="18"/>
                <w:szCs w:val="18"/>
              </w:rPr>
              <w:t xml:space="preserve">Layer</w:t>
            </w:r>
          </w:p>
        </w:tc>
        <w:tc>
          <w:tcPr>
            <w:shd w:color="1F2937" w:val="solid"/>
          </w:tcPr>
          <w:p>
            <w:r>
              <w:rPr>
                <w:rFonts w:ascii="Calibri" w:cs="Calibri" w:eastAsia="Calibri" w:hAnsi="Calibri"/>
                <w:b/>
                <w:bCs/>
                <w:color w:val="FFFFFF"/>
                <w:sz w:val="18"/>
                <w:szCs w:val="18"/>
              </w:rPr>
              <w:t xml:space="preserve">Technology</w:t>
            </w:r>
          </w:p>
        </w:tc>
      </w:tr>
      <w:tr>
        <w:tc>
          <w:tcPr>
            <w:shd w:color="F9FAFB" w:val="solid"/>
          </w:tcPr>
          <w:p>
            <w:r>
              <w:rPr>
                <w:rFonts w:ascii="Calibri" w:cs="Calibri" w:eastAsia="Calibri" w:hAnsi="Calibri"/>
                <w:sz w:val="18"/>
                <w:szCs w:val="18"/>
              </w:rPr>
              <w:t xml:space="preserve">Frontend</w:t>
            </w:r>
          </w:p>
        </w:tc>
        <w:tc>
          <w:tcPr>
            <w:shd w:color="FFFFFF" w:val="solid"/>
          </w:tcPr>
          <w:p>
            <w:r>
              <w:rPr>
                <w:rFonts w:ascii="Calibri" w:cs="Calibri" w:eastAsia="Calibri" w:hAnsi="Calibri"/>
                <w:sz w:val="18"/>
                <w:szCs w:val="18"/>
              </w:rPr>
              <w:t xml:space="preserve">React 18, TypeScript, Vite, Tailwind CSS, Framer Motion</w:t>
            </w:r>
          </w:p>
        </w:tc>
      </w:tr>
      <w:tr>
        <w:tc>
          <w:tcPr>
            <w:shd w:color="F9FAFB" w:val="solid"/>
          </w:tcPr>
          <w:p>
            <w:r>
              <w:rPr>
                <w:rFonts w:ascii="Calibri" w:cs="Calibri" w:eastAsia="Calibri" w:hAnsi="Calibri"/>
                <w:sz w:val="18"/>
                <w:szCs w:val="18"/>
              </w:rPr>
              <w:t xml:space="preserve">State / Data</w:t>
            </w:r>
          </w:p>
        </w:tc>
        <w:tc>
          <w:tcPr>
            <w:shd w:color="FFFFFF" w:val="solid"/>
          </w:tcPr>
          <w:p>
            <w:r>
              <w:rPr>
                <w:rFonts w:ascii="Calibri" w:cs="Calibri" w:eastAsia="Calibri" w:hAnsi="Calibri"/>
                <w:sz w:val="18"/>
                <w:szCs w:val="18"/>
              </w:rPr>
              <w:t xml:space="preserve">TanStack React Query, LocalStorage (offline persistence)</w:t>
            </w:r>
          </w:p>
        </w:tc>
      </w:tr>
      <w:tr>
        <w:tc>
          <w:tcPr>
            <w:shd w:color="F9FAFB" w:val="solid"/>
          </w:tcPr>
          <w:p>
            <w:r>
              <w:rPr>
                <w:rFonts w:ascii="Calibri" w:cs="Calibri" w:eastAsia="Calibri" w:hAnsi="Calibri"/>
                <w:sz w:val="18"/>
                <w:szCs w:val="18"/>
              </w:rPr>
              <w:t xml:space="preserve">Testing</w:t>
            </w:r>
          </w:p>
        </w:tc>
        <w:tc>
          <w:tcPr>
            <w:shd w:color="FFFFFF" w:val="solid"/>
          </w:tcPr>
          <w:p>
            <w:r>
              <w:rPr>
                <w:rFonts w:ascii="Calibri" w:cs="Calibri" w:eastAsia="Calibri" w:hAnsi="Calibri"/>
                <w:sz w:val="18"/>
                <w:szCs w:val="18"/>
              </w:rPr>
              <w:t xml:space="preserve">Vitest, Playwright (E2E), React Testing Library</w:t>
            </w:r>
          </w:p>
        </w:tc>
      </w:tr>
      <w:tr>
        <w:tc>
          <w:tcPr>
            <w:shd w:color="F9FAFB" w:val="solid"/>
          </w:tcPr>
          <w:p>
            <w:r>
              <w:rPr>
                <w:rFonts w:ascii="Calibri" w:cs="Calibri" w:eastAsia="Calibri" w:hAnsi="Calibri"/>
                <w:sz w:val="18"/>
                <w:szCs w:val="18"/>
              </w:rPr>
              <w:t xml:space="preserve">Cross-Platform</w:t>
            </w:r>
          </w:p>
        </w:tc>
        <w:tc>
          <w:tcPr>
            <w:shd w:color="FFFFFF" w:val="solid"/>
          </w:tcPr>
          <w:p>
            <w:r>
              <w:rPr>
                <w:rFonts w:ascii="Calibri" w:cs="Calibri" w:eastAsia="Calibri" w:hAnsi="Calibri"/>
                <w:sz w:val="18"/>
                <w:szCs w:val="18"/>
              </w:rPr>
              <w:t xml:space="preserve">Electron (desktop), Capacitor (iOS/Android), Vite PWA Plugin</w:t>
            </w:r>
          </w:p>
        </w:tc>
      </w:tr>
      <w:tr>
        <w:tc>
          <w:tcPr>
            <w:shd w:color="F9FAFB" w:val="solid"/>
          </w:tcPr>
          <w:p>
            <w:r>
              <w:rPr>
                <w:rFonts w:ascii="Calibri" w:cs="Calibri" w:eastAsia="Calibri" w:hAnsi="Calibri"/>
                <w:sz w:val="18"/>
                <w:szCs w:val="18"/>
              </w:rPr>
              <w:t xml:space="preserve">Backend</w:t>
            </w:r>
          </w:p>
        </w:tc>
        <w:tc>
          <w:tcPr>
            <w:shd w:color="FFFFFF" w:val="solid"/>
          </w:tcPr>
          <w:p>
            <w:r>
              <w:rPr>
                <w:rFonts w:ascii="Calibri" w:cs="Calibri" w:eastAsia="Calibri" w:hAnsi="Calibri"/>
                <w:sz w:val="18"/>
                <w:szCs w:val="18"/>
              </w:rPr>
              <w:t xml:space="preserve">FastAPI, Python 3.11, Pydantic v2, uvicorn</w:t>
            </w:r>
          </w:p>
        </w:tc>
      </w:tr>
      <w:tr>
        <w:tc>
          <w:tcPr>
            <w:shd w:color="F9FAFB" w:val="solid"/>
          </w:tcPr>
          <w:p>
            <w:r>
              <w:rPr>
                <w:rFonts w:ascii="Calibri" w:cs="Calibri" w:eastAsia="Calibri" w:hAnsi="Calibri"/>
                <w:sz w:val="18"/>
                <w:szCs w:val="18"/>
              </w:rPr>
              <w:t xml:space="preserve">ORM / Migrations</w:t>
            </w:r>
          </w:p>
        </w:tc>
        <w:tc>
          <w:tcPr>
            <w:shd w:color="FFFFFF" w:val="solid"/>
          </w:tcPr>
          <w:p>
            <w:r>
              <w:rPr>
                <w:rFonts w:ascii="Calibri" w:cs="Calibri" w:eastAsia="Calibri" w:hAnsi="Calibri"/>
                <w:sz w:val="18"/>
                <w:szCs w:val="18"/>
              </w:rPr>
              <w:t xml:space="preserve">SQLAlchemy (async + asyncpg), Alembic</w:t>
            </w:r>
          </w:p>
        </w:tc>
      </w:tr>
      <w:tr>
        <w:tc>
          <w:tcPr>
            <w:shd w:color="F9FAFB" w:val="solid"/>
          </w:tcPr>
          <w:p>
            <w:r>
              <w:rPr>
                <w:rFonts w:ascii="Calibri" w:cs="Calibri" w:eastAsia="Calibri" w:hAnsi="Calibri"/>
                <w:sz w:val="18"/>
                <w:szCs w:val="18"/>
              </w:rPr>
              <w:t xml:space="preserve">Database</w:t>
            </w:r>
          </w:p>
        </w:tc>
        <w:tc>
          <w:tcPr>
            <w:shd w:color="FFFFFF" w:val="solid"/>
          </w:tcPr>
          <w:p>
            <w:r>
              <w:rPr>
                <w:rFonts w:ascii="Calibri" w:cs="Calibri" w:eastAsia="Calibri" w:hAnsi="Calibri"/>
                <w:sz w:val="18"/>
                <w:szCs w:val="18"/>
              </w:rPr>
              <w:t xml:space="preserve">PostgreSQL</w:t>
            </w:r>
          </w:p>
        </w:tc>
      </w:tr>
      <w:tr>
        <w:tc>
          <w:tcPr>
            <w:shd w:color="F9FAFB" w:val="solid"/>
          </w:tcPr>
          <w:p>
            <w:r>
              <w:rPr>
                <w:rFonts w:ascii="Calibri" w:cs="Calibri" w:eastAsia="Calibri" w:hAnsi="Calibri"/>
                <w:sz w:val="18"/>
                <w:szCs w:val="18"/>
              </w:rPr>
              <w:t xml:space="preserve">Background Jobs</w:t>
            </w:r>
          </w:p>
        </w:tc>
        <w:tc>
          <w:tcPr>
            <w:shd w:color="FFFFFF" w:val="solid"/>
          </w:tcPr>
          <w:p>
            <w:r>
              <w:rPr>
                <w:rFonts w:ascii="Calibri" w:cs="Calibri" w:eastAsia="Calibri" w:hAnsi="Calibri"/>
                <w:sz w:val="18"/>
                <w:szCs w:val="18"/>
              </w:rPr>
              <w:t xml:space="preserve">Arq (backed by Redis)</w:t>
            </w:r>
          </w:p>
        </w:tc>
      </w:tr>
      <w:tr>
        <w:tc>
          <w:tcPr>
            <w:shd w:color="F9FAFB" w:val="solid"/>
          </w:tcPr>
          <w:p>
            <w:r>
              <w:rPr>
                <w:rFonts w:ascii="Calibri" w:cs="Calibri" w:eastAsia="Calibri" w:hAnsi="Calibri"/>
                <w:sz w:val="18"/>
                <w:szCs w:val="18"/>
              </w:rPr>
              <w:t xml:space="preserve">Auth</w:t>
            </w:r>
          </w:p>
        </w:tc>
        <w:tc>
          <w:tcPr>
            <w:shd w:color="FFFFFF" w:val="solid"/>
          </w:tcPr>
          <w:p>
            <w:r>
              <w:rPr>
                <w:rFonts w:ascii="Calibri" w:cs="Calibri" w:eastAsia="Calibri" w:hAnsi="Calibri"/>
                <w:sz w:val="18"/>
                <w:szCs w:val="18"/>
              </w:rPr>
              <w:t xml:space="preserve">JWT — cookie and Bearer token support</w:t>
            </w:r>
          </w:p>
        </w:tc>
      </w:tr>
      <w:tr>
        <w:tc>
          <w:tcPr>
            <w:shd w:color="F9FAFB" w:val="solid"/>
          </w:tcPr>
          <w:p>
            <w:r>
              <w:rPr>
                <w:rFonts w:ascii="Calibri" w:cs="Calibri" w:eastAsia="Calibri" w:hAnsi="Calibri"/>
                <w:sz w:val="18"/>
                <w:szCs w:val="18"/>
              </w:rPr>
              <w:t xml:space="preserve">Error Tracking</w:t>
            </w:r>
          </w:p>
        </w:tc>
        <w:tc>
          <w:tcPr>
            <w:shd w:color="FFFFFF" w:val="solid"/>
          </w:tcPr>
          <w:p>
            <w:r>
              <w:rPr>
                <w:rFonts w:ascii="Calibri" w:cs="Calibri" w:eastAsia="Calibri" w:hAnsi="Calibri"/>
                <w:sz w:val="18"/>
                <w:szCs w:val="18"/>
              </w:rPr>
              <w:t xml:space="preserve">Sentry</w:t>
            </w:r>
          </w:p>
        </w:tc>
      </w:tr>
      <w:tr>
        <w:tc>
          <w:tcPr>
            <w:shd w:color="F9FAFB" w:val="solid"/>
          </w:tcPr>
          <w:p>
            <w:r>
              <w:rPr>
                <w:rFonts w:ascii="Calibri" w:cs="Calibri" w:eastAsia="Calibri" w:hAnsi="Calibri"/>
                <w:sz w:val="18"/>
                <w:szCs w:val="18"/>
              </w:rPr>
              <w:t xml:space="preserve">Rate Limiting</w:t>
            </w:r>
          </w:p>
        </w:tc>
        <w:tc>
          <w:tcPr>
            <w:shd w:color="FFFFFF" w:val="solid"/>
          </w:tcPr>
          <w:p>
            <w:r>
              <w:rPr>
                <w:rFonts w:ascii="Calibri" w:cs="Calibri" w:eastAsia="Calibri" w:hAnsi="Calibri"/>
                <w:sz w:val="18"/>
                <w:szCs w:val="18"/>
              </w:rPr>
              <w:t xml:space="preserve">Slowapi</w:t>
            </w:r>
          </w:p>
        </w:tc>
      </w:tr>
      <w:tr>
        <w:tc>
          <w:tcPr>
            <w:shd w:color="F9FAFB" w:val="solid"/>
          </w:tcPr>
          <w:p>
            <w:r>
              <w:rPr>
                <w:rFonts w:ascii="Calibri" w:cs="Calibri" w:eastAsia="Calibri" w:hAnsi="Calibri"/>
                <w:sz w:val="18"/>
                <w:szCs w:val="18"/>
              </w:rPr>
              <w:t xml:space="preserve">Deployment</w:t>
            </w:r>
          </w:p>
        </w:tc>
        <w:tc>
          <w:tcPr>
            <w:shd w:color="FFFFFF" w:val="solid"/>
          </w:tcPr>
          <w:p>
            <w:r>
              <w:rPr>
                <w:rFonts w:ascii="Calibri" w:cs="Calibri" w:eastAsia="Calibri" w:hAnsi="Calibri"/>
                <w:sz w:val="18"/>
                <w:szCs w:val="18"/>
              </w:rPr>
              <w:t xml:space="preserve">Railway (backend), Vercel (frontend)</w:t>
            </w:r>
          </w:p>
        </w:tc>
      </w:tr>
    </w:tbl>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5. Data Models</w:t>
      </w:r>
    </w:p>
    <w:p>
      <w:pPr>
        <w:spacing w:after="80" w:before="80"/>
      </w:pPr>
      <w:r>
        <w:rPr>
          <w:rFonts w:ascii="Calibri" w:cs="Calibri" w:eastAsia="Calibri" w:hAnsi="Calibri"/>
          <w:sz w:val="20"/>
          <w:szCs w:val="20"/>
        </w:rPr>
        <w:t xml:space="preserve">The backend models map directly to TypeScript interfaces in types.ts, ensuring consistent data shapes across the full stack.</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F2937" w:val="solid"/>
          </w:tcPr>
          <w:p>
            <w:r>
              <w:rPr>
                <w:rFonts w:ascii="Calibri" w:cs="Calibri" w:eastAsia="Calibri" w:hAnsi="Calibri"/>
                <w:b/>
                <w:bCs/>
                <w:color w:val="FFFFFF"/>
                <w:sz w:val="18"/>
                <w:szCs w:val="18"/>
              </w:rPr>
              <w:t xml:space="preserve">Model</w:t>
            </w:r>
          </w:p>
        </w:tc>
        <w:tc>
          <w:tcPr>
            <w:shd w:color="1F2937" w:val="solid"/>
          </w:tcPr>
          <w:p>
            <w:r>
              <w:rPr>
                <w:rFonts w:ascii="Calibri" w:cs="Calibri" w:eastAsia="Calibri" w:hAnsi="Calibri"/>
                <w:b/>
                <w:bCs/>
                <w:color w:val="FFFFFF"/>
                <w:sz w:val="18"/>
                <w:szCs w:val="18"/>
              </w:rPr>
              <w:t xml:space="preserve">Purpose</w:t>
            </w:r>
          </w:p>
        </w:tc>
      </w:tr>
      <w:tr>
        <w:tc>
          <w:tcPr>
            <w:shd w:color="F9FAFB" w:val="solid"/>
          </w:tcPr>
          <w:p>
            <w:r>
              <w:rPr>
                <w:rFonts w:ascii="Calibri" w:cs="Calibri" w:eastAsia="Calibri" w:hAnsi="Calibri"/>
                <w:sz w:val="18"/>
                <w:szCs w:val="18"/>
              </w:rPr>
              <w:t xml:space="preserve">User</w:t>
            </w:r>
          </w:p>
        </w:tc>
        <w:tc>
          <w:tcPr>
            <w:shd w:color="FFFFFF" w:val="solid"/>
          </w:tcPr>
          <w:p>
            <w:r>
              <w:rPr>
                <w:rFonts w:ascii="Calibri" w:cs="Calibri" w:eastAsia="Calibri" w:hAnsi="Calibri"/>
                <w:sz w:val="18"/>
                <w:szCs w:val="18"/>
              </w:rPr>
              <w:t xml:space="preserve">Authentication and profile — name, email, auth details</w:t>
            </w:r>
          </w:p>
        </w:tc>
      </w:tr>
      <w:tr>
        <w:tc>
          <w:tcPr>
            <w:shd w:color="F9FAFB" w:val="solid"/>
          </w:tcPr>
          <w:p>
            <w:r>
              <w:rPr>
                <w:rFonts w:ascii="Calibri" w:cs="Calibri" w:eastAsia="Calibri" w:hAnsi="Calibri"/>
                <w:sz w:val="18"/>
                <w:szCs w:val="18"/>
              </w:rPr>
              <w:t xml:space="preserve">AppItem</w:t>
            </w:r>
          </w:p>
        </w:tc>
        <w:tc>
          <w:tcPr>
            <w:shd w:color="FFFFFF" w:val="solid"/>
          </w:tcPr>
          <w:p>
            <w:r>
              <w:rPr>
                <w:rFonts w:ascii="Calibri" w:cs="Calibri" w:eastAsia="Calibri" w:hAnsi="Calibri"/>
                <w:sz w:val="18"/>
                <w:szCs w:val="18"/>
              </w:rPr>
              <w:t xml:space="preserve">Tracked subscription — name, URL, category, plan, billing_frequency, monthly_cost, expires_at</w:t>
            </w:r>
          </w:p>
        </w:tc>
      </w:tr>
      <w:tr>
        <w:tc>
          <w:tcPr>
            <w:shd w:color="F9FAFB" w:val="solid"/>
          </w:tcPr>
          <w:p>
            <w:r>
              <w:rPr>
                <w:rFonts w:ascii="Calibri" w:cs="Calibri" w:eastAsia="Calibri" w:hAnsi="Calibri"/>
                <w:sz w:val="18"/>
                <w:szCs w:val="18"/>
              </w:rPr>
              <w:t xml:space="preserve">Preferences</w:t>
            </w:r>
          </w:p>
        </w:tc>
        <w:tc>
          <w:tcPr>
            <w:shd w:color="FFFFFF" w:val="solid"/>
          </w:tcPr>
          <w:p>
            <w:r>
              <w:rPr>
                <w:rFonts w:ascii="Calibri" w:cs="Calibri" w:eastAsia="Calibri" w:hAnsi="Calibri"/>
                <w:sz w:val="18"/>
                <w:szCs w:val="18"/>
              </w:rPr>
              <w:t xml:space="preserve">Per-user settings — theme, compact_mode, currency, budget, notification preferences</w:t>
            </w:r>
          </w:p>
        </w:tc>
      </w:tr>
      <w:tr>
        <w:tc>
          <w:tcPr>
            <w:shd w:color="F9FAFB" w:val="solid"/>
          </w:tcPr>
          <w:p>
            <w:r>
              <w:rPr>
                <w:rFonts w:ascii="Calibri" w:cs="Calibri" w:eastAsia="Calibri" w:hAnsi="Calibri"/>
                <w:sz w:val="18"/>
                <w:szCs w:val="18"/>
              </w:rPr>
              <w:t xml:space="preserve">Reminder / ReminderLog</w:t>
            </w:r>
          </w:p>
        </w:tc>
        <w:tc>
          <w:tcPr>
            <w:shd w:color="FFFFFF" w:val="solid"/>
          </w:tcPr>
          <w:p>
            <w:r>
              <w:rPr>
                <w:rFonts w:ascii="Calibri" w:cs="Calibri" w:eastAsia="Calibri" w:hAnsi="Calibri"/>
                <w:sz w:val="18"/>
                <w:szCs w:val="18"/>
              </w:rPr>
              <w:t xml:space="preserve">Alert rules (trigger conditions, channels) and delivery history</w:t>
            </w:r>
          </w:p>
        </w:tc>
      </w:tr>
      <w:tr>
        <w:tc>
          <w:tcPr>
            <w:shd w:color="F9FAFB" w:val="solid"/>
          </w:tcPr>
          <w:p>
            <w:r>
              <w:rPr>
                <w:rFonts w:ascii="Calibri" w:cs="Calibri" w:eastAsia="Calibri" w:hAnsi="Calibri"/>
                <w:sz w:val="18"/>
                <w:szCs w:val="18"/>
              </w:rPr>
              <w:t xml:space="preserve">UsageSession</w:t>
            </w:r>
          </w:p>
        </w:tc>
        <w:tc>
          <w:tcPr>
            <w:shd w:color="FFFFFF" w:val="solid"/>
          </w:tcPr>
          <w:p>
            <w:r>
              <w:rPr>
                <w:rFonts w:ascii="Calibri" w:cs="Calibri" w:eastAsia="Calibri" w:hAnsi="Calibri"/>
                <w:sz w:val="18"/>
                <w:szCs w:val="18"/>
              </w:rPr>
              <w:t xml:space="preserve">App launch events — app_id, started_at, ended_at — drives usage analytics</w:t>
            </w:r>
          </w:p>
        </w:tc>
      </w:tr>
      <w:tr>
        <w:tc>
          <w:tcPr>
            <w:shd w:color="F9FAFB" w:val="solid"/>
          </w:tcPr>
          <w:p>
            <w:r>
              <w:rPr>
                <w:rFonts w:ascii="Calibri" w:cs="Calibri" w:eastAsia="Calibri" w:hAnsi="Calibri"/>
                <w:sz w:val="18"/>
                <w:szCs w:val="18"/>
              </w:rPr>
              <w:t xml:space="preserve">ApiKey</w:t>
            </w:r>
          </w:p>
        </w:tc>
        <w:tc>
          <w:tcPr>
            <w:shd w:color="FFFFFF" w:val="solid"/>
          </w:tcPr>
          <w:p>
            <w:r>
              <w:rPr>
                <w:rFonts w:ascii="Calibri" w:cs="Calibri" w:eastAsia="Calibri" w:hAnsi="Calibri"/>
                <w:sz w:val="18"/>
                <w:szCs w:val="18"/>
              </w:rPr>
              <w:t xml:space="preserve">Programmatic access — key hash, label, last_used</w:t>
            </w:r>
          </w:p>
        </w:tc>
      </w:tr>
      <w:tr>
        <w:tc>
          <w:tcPr>
            <w:shd w:color="F9FAFB" w:val="solid"/>
          </w:tcPr>
          <w:p>
            <w:r>
              <w:rPr>
                <w:rFonts w:ascii="Calibri" w:cs="Calibri" w:eastAsia="Calibri" w:hAnsi="Calibri"/>
                <w:sz w:val="18"/>
                <w:szCs w:val="18"/>
              </w:rPr>
              <w:t xml:space="preserve">PushSubscription</w:t>
            </w:r>
          </w:p>
        </w:tc>
        <w:tc>
          <w:tcPr>
            <w:shd w:color="FFFFFF" w:val="solid"/>
          </w:tcPr>
          <w:p>
            <w:r>
              <w:rPr>
                <w:rFonts w:ascii="Calibri" w:cs="Calibri" w:eastAsia="Calibri" w:hAnsi="Calibri"/>
                <w:sz w:val="18"/>
                <w:szCs w:val="18"/>
              </w:rPr>
              <w:t xml:space="preserve">Web push endpoints — endpoint, p256dh, auth</w:t>
            </w:r>
          </w:p>
        </w:tc>
      </w:tr>
    </w:tbl>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6. Cross-Platform Strategy</w:t>
      </w:r>
    </w:p>
    <w:p>
      <w:pPr>
        <w:spacing w:after="80" w:before="80"/>
      </w:pPr>
      <w:r>
        <w:rPr>
          <w:rFonts w:ascii="Calibri" w:cs="Calibri" w:eastAsia="Calibri" w:hAnsi="Calibri"/>
          <w:sz w:val="20"/>
          <w:szCs w:val="20"/>
        </w:rPr>
        <w:t xml:space="preserve">A single React codebase targets four distribution channels:</w:t>
      </w:r>
    </w:p>
    <w:p>
      <w:pPr>
        <w:spacing w:after="100" w:before="100"/>
      </w:pPr>
    </w:p>
    <w:p>
      <w:pPr>
        <w:pStyle w:val="ListParagraph"/>
        <w:numPr>
          <w:ilvl w:val="0"/>
          <w:numId w:val="1"/>
        </w:numPr>
        <w:spacing w:after="60" w:before="60"/>
      </w:pPr>
      <w:r>
        <w:rPr>
          <w:rFonts w:ascii="Calibri" w:cs="Calibri" w:eastAsia="Calibri" w:hAnsi="Calibri"/>
          <w:b/>
          <w:bCs/>
          <w:sz w:val="20"/>
          <w:szCs w:val="20"/>
        </w:rPr>
        <w:t xml:space="preserve">Web SPA — deployed to Vercel as a standard React + Vite build</w:t>
      </w:r>
    </w:p>
    <w:p>
      <w:pPr>
        <w:pStyle w:val="ListParagraph"/>
        <w:numPr>
          <w:ilvl w:val="0"/>
          <w:numId w:val="1"/>
        </w:numPr>
        <w:spacing w:after="60" w:before="60"/>
      </w:pPr>
      <w:r>
        <w:rPr>
          <w:rFonts w:ascii="Calibri" w:cs="Calibri" w:eastAsia="Calibri" w:hAnsi="Calibri"/>
          <w:b/>
          <w:bCs/>
          <w:sz w:val="20"/>
          <w:szCs w:val="20"/>
        </w:rPr>
        <w:t xml:space="preserve">Progressive Web App (PWA) — via Vite PWA Plugin and Workbox service worker; installable on any device</w:t>
      </w:r>
    </w:p>
    <w:p>
      <w:pPr>
        <w:pStyle w:val="ListParagraph"/>
        <w:numPr>
          <w:ilvl w:val="0"/>
          <w:numId w:val="1"/>
        </w:numPr>
        <w:spacing w:after="60" w:before="60"/>
      </w:pPr>
      <w:r>
        <w:rPr>
          <w:rFonts w:ascii="Calibri" w:cs="Calibri" w:eastAsia="Calibri" w:hAnsi="Calibri"/>
          <w:b/>
          <w:bCs/>
          <w:sz w:val="20"/>
          <w:szCs w:val="20"/>
        </w:rPr>
        <w:t xml:space="preserve">Desktop (Windows / macOS / Linux) — wrapped with Electron; platform-specific APIs available via preload scripts</w:t>
      </w:r>
    </w:p>
    <w:p>
      <w:pPr>
        <w:pStyle w:val="ListParagraph"/>
        <w:numPr>
          <w:ilvl w:val="0"/>
          <w:numId w:val="1"/>
        </w:numPr>
        <w:spacing w:after="60" w:before="60"/>
      </w:pPr>
      <w:r>
        <w:rPr>
          <w:rFonts w:ascii="Calibri" w:cs="Calibri" w:eastAsia="Calibri" w:hAnsi="Calibri"/>
          <w:b/>
          <w:bCs/>
          <w:sz w:val="20"/>
          <w:szCs w:val="20"/>
        </w:rPr>
        <w:t xml:space="preserve">Mobile (iOS / Android) — wrapped with Capacitor; native device APIs accessible through Capacitor plugins</w:t>
      </w:r>
    </w:p>
    <w:p>
      <w:pPr>
        <w:spacing w:after="100" w:before="100"/>
      </w:pPr>
    </w:p>
    <w:p>
      <w:pPr>
        <w:spacing w:after="80" w:before="80"/>
      </w:pPr>
      <w:r>
        <w:rPr>
          <w:rFonts w:ascii="Calibri" w:cs="Calibri" w:eastAsia="Calibri" w:hAnsi="Calibri"/>
          <w:sz w:val="20"/>
          <w:szCs w:val="20"/>
        </w:rPr>
        <w:t xml:space="preserve">This approach means that a feature built once in React ships to all four targets simultaneously, with no diverging codebases to maintain.</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7. Background Job System</w:t>
      </w:r>
    </w:p>
    <w:p>
      <w:pPr>
        <w:spacing w:after="80" w:before="80"/>
      </w:pPr>
      <w:r>
        <w:rPr>
          <w:rFonts w:ascii="Calibri" w:cs="Calibri" w:eastAsia="Calibri" w:hAnsi="Calibri"/>
          <w:sz w:val="20"/>
          <w:szCs w:val="20"/>
        </w:rPr>
        <w:t xml:space="preserve">Long-running notification jobs are handled by Arq, an async Python task queue backed by Redis. This decouples notification delivery from the HTTP request cycle entirely.</w:t>
      </w:r>
    </w:p>
    <w:p>
      <w:pPr>
        <w:spacing w:after="100" w:before="100"/>
      </w:pPr>
    </w:p>
    <w:p>
      <w:pPr>
        <w:pStyle w:val="Heading2"/>
        <w:spacing w:after="80" w:before="200"/>
      </w:pPr>
      <w:r>
        <w:rPr>
          <w:rFonts w:ascii="Calibri" w:cs="Calibri" w:eastAsia="Calibri" w:hAnsi="Calibri"/>
          <w:b/>
          <w:bCs/>
          <w:color w:val="2563EB"/>
          <w:sz w:val="24"/>
          <w:szCs w:val="24"/>
        </w:rPr>
        <w:t xml:space="preserve">Task Types</w:t>
      </w:r>
    </w:p>
    <w:p>
      <w:pPr>
        <w:pStyle w:val="ListParagraph"/>
        <w:numPr>
          <w:ilvl w:val="0"/>
          <w:numId w:val="1"/>
        </w:numPr>
        <w:spacing w:after="60" w:before="60"/>
      </w:pPr>
      <w:r>
        <w:rPr>
          <w:rFonts w:ascii="Calibri" w:cs="Calibri" w:eastAsia="Calibri" w:hAnsi="Calibri"/>
          <w:b w:val="false"/>
          <w:bCs w:val="false"/>
          <w:sz w:val="20"/>
          <w:szCs w:val="20"/>
        </w:rPr>
        <w:t xml:space="preserve">send_renewal_email_task — sends email notification before a subscription renews</w:t>
      </w:r>
    </w:p>
    <w:p>
      <w:pPr>
        <w:pStyle w:val="ListParagraph"/>
        <w:numPr>
          <w:ilvl w:val="0"/>
          <w:numId w:val="1"/>
        </w:numPr>
        <w:spacing w:after="60" w:before="60"/>
      </w:pPr>
      <w:r>
        <w:rPr>
          <w:rFonts w:ascii="Calibri" w:cs="Calibri" w:eastAsia="Calibri" w:hAnsi="Calibri"/>
          <w:b w:val="false"/>
          <w:bCs w:val="false"/>
          <w:sz w:val="20"/>
          <w:szCs w:val="20"/>
        </w:rPr>
        <w:t xml:space="preserve">send_push_notification_task — delivers web push notification to registered endpoints</w:t>
      </w:r>
    </w:p>
    <w:p>
      <w:pPr>
        <w:pStyle w:val="ListParagraph"/>
        <w:numPr>
          <w:ilvl w:val="0"/>
          <w:numId w:val="1"/>
        </w:numPr>
        <w:spacing w:after="60" w:before="60"/>
      </w:pPr>
      <w:r>
        <w:rPr>
          <w:rFonts w:ascii="Calibri" w:cs="Calibri" w:eastAsia="Calibri" w:hAnsi="Calibri"/>
          <w:b w:val="false"/>
          <w:bCs w:val="false"/>
          <w:sz w:val="20"/>
          <w:szCs w:val="20"/>
        </w:rPr>
        <w:t xml:space="preserve">check_expired_trials_task — scheduled task that scans for trials expiring within the reminder window</w:t>
      </w:r>
    </w:p>
    <w:p>
      <w:pPr>
        <w:spacing w:after="100" w:before="100"/>
      </w:pPr>
    </w:p>
    <w:p>
      <w:pPr>
        <w:spacing w:after="80" w:before="80"/>
      </w:pPr>
      <w:r>
        <w:rPr>
          <w:rFonts w:ascii="Calibri" w:cs="Calibri" w:eastAsia="Calibri" w:hAnsi="Calibri"/>
          <w:sz w:val="20"/>
          <w:szCs w:val="20"/>
        </w:rPr>
        <w:t xml:space="preserve">The Railway deployment runs two independent services: the FastAPI API server and the Arq worker, each scaled separately as load requires.</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8. Authentication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F2937" w:val="solid"/>
          </w:tcPr>
          <w:p>
            <w:r>
              <w:rPr>
                <w:rFonts w:ascii="Calibri" w:cs="Calibri" w:eastAsia="Calibri" w:hAnsi="Calibri"/>
                <w:b/>
                <w:bCs/>
                <w:color w:val="FFFFFF"/>
                <w:sz w:val="18"/>
                <w:szCs w:val="18"/>
              </w:rPr>
              <w:t xml:space="preserve">Layer</w:t>
            </w:r>
          </w:p>
        </w:tc>
        <w:tc>
          <w:tcPr>
            <w:shd w:color="1F2937" w:val="solid"/>
          </w:tcPr>
          <w:p>
            <w:r>
              <w:rPr>
                <w:rFonts w:ascii="Calibri" w:cs="Calibri" w:eastAsia="Calibri" w:hAnsi="Calibri"/>
                <w:b/>
                <w:bCs/>
                <w:color w:val="FFFFFF"/>
                <w:sz w:val="18"/>
                <w:szCs w:val="18"/>
              </w:rPr>
              <w:t xml:space="preserve">Implementation</w:t>
            </w:r>
          </w:p>
        </w:tc>
      </w:tr>
      <w:tr>
        <w:tc>
          <w:tcPr>
            <w:shd w:color="F9FAFB" w:val="solid"/>
          </w:tcPr>
          <w:p>
            <w:r>
              <w:rPr>
                <w:rFonts w:ascii="Calibri" w:cs="Calibri" w:eastAsia="Calibri" w:hAnsi="Calibri"/>
                <w:sz w:val="18"/>
                <w:szCs w:val="18"/>
              </w:rPr>
              <w:t xml:space="preserve">Authentication</w:t>
            </w:r>
          </w:p>
        </w:tc>
        <w:tc>
          <w:tcPr>
            <w:shd w:color="FFFFFF" w:val="solid"/>
          </w:tcPr>
          <w:p>
            <w:r>
              <w:rPr>
                <w:rFonts w:ascii="Calibri" w:cs="Calibri" w:eastAsia="Calibri" w:hAnsi="Calibri"/>
                <w:sz w:val="18"/>
                <w:szCs w:val="18"/>
              </w:rPr>
              <w:t xml:space="preserve">JWT (python-jose) — supports cookie and Bearer token delivery</w:t>
            </w:r>
          </w:p>
        </w:tc>
      </w:tr>
      <w:tr>
        <w:tc>
          <w:tcPr>
            <w:shd w:color="F9FAFB" w:val="solid"/>
          </w:tcPr>
          <w:p>
            <w:r>
              <w:rPr>
                <w:rFonts w:ascii="Calibri" w:cs="Calibri" w:eastAsia="Calibri" w:hAnsi="Calibri"/>
                <w:sz w:val="18"/>
                <w:szCs w:val="18"/>
              </w:rPr>
              <w:t xml:space="preserve">Rate Limiting</w:t>
            </w:r>
          </w:p>
        </w:tc>
        <w:tc>
          <w:tcPr>
            <w:shd w:color="FFFFFF" w:val="solid"/>
          </w:tcPr>
          <w:p>
            <w:r>
              <w:rPr>
                <w:rFonts w:ascii="Calibri" w:cs="Calibri" w:eastAsia="Calibri" w:hAnsi="Calibri"/>
                <w:sz w:val="18"/>
                <w:szCs w:val="18"/>
              </w:rPr>
              <w:t xml:space="preserve">Slowapi — per-endpoint request limits</w:t>
            </w:r>
          </w:p>
        </w:tc>
      </w:tr>
      <w:tr>
        <w:tc>
          <w:tcPr>
            <w:shd w:color="F9FAFB" w:val="solid"/>
          </w:tcPr>
          <w:p>
            <w:r>
              <w:rPr>
                <w:rFonts w:ascii="Calibri" w:cs="Calibri" w:eastAsia="Calibri" w:hAnsi="Calibri"/>
                <w:sz w:val="18"/>
                <w:szCs w:val="18"/>
              </w:rPr>
              <w:t xml:space="preserve">Error Tracking</w:t>
            </w:r>
          </w:p>
        </w:tc>
        <w:tc>
          <w:tcPr>
            <w:shd w:color="FFFFFF" w:val="solid"/>
          </w:tcPr>
          <w:p>
            <w:r>
              <w:rPr>
                <w:rFonts w:ascii="Calibri" w:cs="Calibri" w:eastAsia="Calibri" w:hAnsi="Calibri"/>
                <w:sz w:val="18"/>
                <w:szCs w:val="18"/>
              </w:rPr>
              <w:t xml:space="preserve">Sentry — captures backend exceptions with full deployment context</w:t>
            </w:r>
          </w:p>
        </w:tc>
      </w:tr>
      <w:tr>
        <w:tc>
          <w:tcPr>
            <w:shd w:color="F9FAFB" w:val="solid"/>
          </w:tcPr>
          <w:p>
            <w:r>
              <w:rPr>
                <w:rFonts w:ascii="Calibri" w:cs="Calibri" w:eastAsia="Calibri" w:hAnsi="Calibri"/>
                <w:sz w:val="18"/>
                <w:szCs w:val="18"/>
              </w:rPr>
              <w:t xml:space="preserve">Database</w:t>
            </w:r>
          </w:p>
        </w:tc>
        <w:tc>
          <w:tcPr>
            <w:shd w:color="FFFFFF" w:val="solid"/>
          </w:tcPr>
          <w:p>
            <w:r>
              <w:rPr>
                <w:rFonts w:ascii="Calibri" w:cs="Calibri" w:eastAsia="Calibri" w:hAnsi="Calibri"/>
                <w:sz w:val="18"/>
                <w:szCs w:val="18"/>
              </w:rPr>
              <w:t xml:space="preserve">PostgreSQL with parameterised queries — no raw SQL injection surface</w:t>
            </w:r>
          </w:p>
        </w:tc>
      </w:tr>
      <w:tr>
        <w:tc>
          <w:tcPr>
            <w:shd w:color="F9FAFB" w:val="solid"/>
          </w:tcPr>
          <w:p>
            <w:r>
              <w:rPr>
                <w:rFonts w:ascii="Calibri" w:cs="Calibri" w:eastAsia="Calibri" w:hAnsi="Calibri"/>
                <w:sz w:val="18"/>
                <w:szCs w:val="18"/>
              </w:rPr>
              <w:t xml:space="preserve">API Keys</w:t>
            </w:r>
          </w:p>
        </w:tc>
        <w:tc>
          <w:tcPr>
            <w:shd w:color="FFFFFF" w:val="solid"/>
          </w:tcPr>
          <w:p>
            <w:r>
              <w:rPr>
                <w:rFonts w:ascii="Calibri" w:cs="Calibri" w:eastAsia="Calibri" w:hAnsi="Calibri"/>
                <w:sz w:val="18"/>
                <w:szCs w:val="18"/>
              </w:rPr>
              <w:t xml:space="preserve">Hashed before storage — plaintext key never persisted</w:t>
            </w:r>
          </w:p>
        </w:tc>
      </w:tr>
      <w:tr>
        <w:tc>
          <w:tcPr>
            <w:shd w:color="F9FAFB" w:val="solid"/>
          </w:tcPr>
          <w:p>
            <w:r>
              <w:rPr>
                <w:rFonts w:ascii="Calibri" w:cs="Calibri" w:eastAsia="Calibri" w:hAnsi="Calibri"/>
                <w:sz w:val="18"/>
                <w:szCs w:val="18"/>
              </w:rPr>
              <w:t xml:space="preserve">Frontend</w:t>
            </w:r>
          </w:p>
        </w:tc>
        <w:tc>
          <w:tcPr>
            <w:shd w:color="FFFFFF" w:val="solid"/>
          </w:tcPr>
          <w:p>
            <w:r>
              <w:rPr>
                <w:rFonts w:ascii="Calibri" w:cs="Calibri" w:eastAsia="Calibri" w:hAnsi="Calibri"/>
                <w:sz w:val="18"/>
                <w:szCs w:val="18"/>
              </w:rPr>
              <w:t xml:space="preserve">Strict TypeScript — no any, no unvalidated API responses</w:t>
            </w:r>
          </w:p>
        </w:tc>
      </w:tr>
    </w:tbl>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9. Getting Started</w:t>
      </w:r>
    </w:p>
    <w:p>
      <w:pPr>
        <w:pStyle w:val="Heading2"/>
        <w:spacing w:after="80" w:before="200"/>
      </w:pPr>
      <w:r>
        <w:rPr>
          <w:rFonts w:ascii="Calibri" w:cs="Calibri" w:eastAsia="Calibri" w:hAnsi="Calibri"/>
          <w:b/>
          <w:bCs/>
          <w:color w:val="2563EB"/>
          <w:sz w:val="24"/>
          <w:szCs w:val="24"/>
        </w:rPr>
        <w:t xml:space="preserve">Backend</w:t>
      </w:r>
    </w:p>
    <w:p>
      <w:pPr>
        <w:shd w:color="F3F4F6" w:val="solid"/>
        <w:spacing w:after="60" w:before="60"/>
        <w:ind w:left="360"/>
      </w:pPr>
      <w:r>
        <w:rPr>
          <w:rFonts w:ascii="Courier New" w:cs="Courier New" w:eastAsia="Courier New" w:hAnsi="Courier New"/>
          <w:color w:val="1F2937"/>
          <w:sz w:val="18"/>
          <w:szCs w:val="18"/>
        </w:rPr>
        <w:t xml:space="preserve">cd backend</w:t>
      </w:r>
    </w:p>
    <w:p>
      <w:pPr>
        <w:shd w:color="F3F4F6" w:val="solid"/>
        <w:spacing w:after="60" w:before="60"/>
        <w:ind w:left="360"/>
      </w:pPr>
      <w:r>
        <w:rPr>
          <w:rFonts w:ascii="Courier New" w:cs="Courier New" w:eastAsia="Courier New" w:hAnsi="Courier New"/>
          <w:color w:val="1F2937"/>
          <w:sz w:val="18"/>
          <w:szCs w:val="18"/>
        </w:rPr>
        <w:t xml:space="preserve">pip install -r requirements.txt</w:t>
      </w:r>
    </w:p>
    <w:p>
      <w:pPr>
        <w:shd w:color="F3F4F6" w:val="solid"/>
        <w:spacing w:after="60" w:before="60"/>
        <w:ind w:left="360"/>
      </w:pPr>
      <w:r>
        <w:rPr>
          <w:rFonts w:ascii="Courier New" w:cs="Courier New" w:eastAsia="Courier New" w:hAnsi="Courier New"/>
          <w:color w:val="1F2937"/>
          <w:sz w:val="18"/>
          <w:szCs w:val="18"/>
        </w:rPr>
        <w:t xml:space="preserve">cp ../.env.example .env   # fill in secrets</w:t>
      </w:r>
    </w:p>
    <w:p>
      <w:pPr>
        <w:shd w:color="F3F4F6" w:val="solid"/>
        <w:spacing w:after="60" w:before="60"/>
        <w:ind w:left="360"/>
      </w:pPr>
      <w:r>
        <w:rPr>
          <w:rFonts w:ascii="Courier New" w:cs="Courier New" w:eastAsia="Courier New" w:hAnsi="Courier New"/>
          <w:color w:val="1F2937"/>
          <w:sz w:val="18"/>
          <w:szCs w:val="18"/>
        </w:rPr>
        <w:t xml:space="preserve">alembic upgrade head      # run migrations</w:t>
      </w:r>
    </w:p>
    <w:p>
      <w:pPr>
        <w:shd w:color="F3F4F6" w:val="solid"/>
        <w:spacing w:after="60" w:before="60"/>
        <w:ind w:left="360"/>
      </w:pPr>
      <w:r>
        <w:rPr>
          <w:rFonts w:ascii="Courier New" w:cs="Courier New" w:eastAsia="Courier New" w:hAnsi="Courier New"/>
          <w:color w:val="1F2937"/>
          <w:sz w:val="18"/>
          <w:szCs w:val="18"/>
        </w:rPr>
        <w:t xml:space="preserve">uvicorn main:app --reload --port 8000</w:t>
      </w:r>
    </w:p>
    <w:p>
      <w:pPr>
        <w:spacing w:after="100" w:before="100"/>
      </w:pPr>
    </w:p>
    <w:p>
      <w:pPr>
        <w:spacing w:after="80" w:before="80"/>
      </w:pPr>
      <w:r>
        <w:rPr>
          <w:rFonts w:ascii="Calibri" w:cs="Calibri" w:eastAsia="Calibri" w:hAnsi="Calibri"/>
          <w:sz w:val="20"/>
          <w:szCs w:val="20"/>
        </w:rPr>
        <w:t xml:space="preserve">Start the Arq worker in a separate terminal:</w:t>
      </w:r>
    </w:p>
    <w:p>
      <w:pPr>
        <w:shd w:color="F3F4F6" w:val="solid"/>
        <w:spacing w:after="60" w:before="60"/>
        <w:ind w:left="360"/>
      </w:pPr>
      <w:r>
        <w:rPr>
          <w:rFonts w:ascii="Courier New" w:cs="Courier New" w:eastAsia="Courier New" w:hAnsi="Courier New"/>
          <w:color w:val="1F2937"/>
          <w:sz w:val="18"/>
          <w:szCs w:val="18"/>
        </w:rPr>
        <w:t xml:space="preserve">cd backend</w:t>
      </w:r>
    </w:p>
    <w:p>
      <w:pPr>
        <w:shd w:color="F3F4F6" w:val="solid"/>
        <w:spacing w:after="60" w:before="60"/>
        <w:ind w:left="360"/>
      </w:pPr>
      <w:r>
        <w:rPr>
          <w:rFonts w:ascii="Courier New" w:cs="Courier New" w:eastAsia="Courier New" w:hAnsi="Courier New"/>
          <w:color w:val="1F2937"/>
          <w:sz w:val="18"/>
          <w:szCs w:val="18"/>
        </w:rPr>
        <w:t xml:space="preserve">arq app.tasks.WorkerSettings</w:t>
      </w:r>
    </w:p>
    <w:p>
      <w:pPr>
        <w:spacing w:after="100" w:before="100"/>
      </w:pPr>
    </w:p>
    <w:p>
      <w:pPr>
        <w:spacing w:after="80" w:before="80"/>
      </w:pPr>
      <w:r>
        <w:rPr>
          <w:rFonts w:ascii="Calibri" w:cs="Calibri" w:eastAsia="Calibri" w:hAnsi="Calibri"/>
          <w:sz w:val="20"/>
          <w:szCs w:val="20"/>
        </w:rPr>
        <w:t xml:space="preserve">Required env vars: DATABASE_URL, REDIS_URL, JWT_SECRET, SENTRY_DSN.</w:t>
      </w:r>
    </w:p>
    <w:p>
      <w:pPr>
        <w:spacing w:after="100" w:before="100"/>
      </w:pPr>
    </w:p>
    <w:p>
      <w:pPr>
        <w:pStyle w:val="Heading2"/>
        <w:spacing w:after="80" w:before="200"/>
      </w:pPr>
      <w:r>
        <w:rPr>
          <w:rFonts w:ascii="Calibri" w:cs="Calibri" w:eastAsia="Calibri" w:hAnsi="Calibri"/>
          <w:b/>
          <w:bCs/>
          <w:color w:val="2563EB"/>
          <w:sz w:val="24"/>
          <w:szCs w:val="24"/>
        </w:rPr>
        <w:t xml:space="preserve">Frontend</w:t>
      </w:r>
    </w:p>
    <w:p>
      <w:pPr>
        <w:shd w:color="F3F4F6" w:val="solid"/>
        <w:spacing w:after="60" w:before="60"/>
        <w:ind w:left="360"/>
      </w:pPr>
      <w:r>
        <w:rPr>
          <w:rFonts w:ascii="Courier New" w:cs="Courier New" w:eastAsia="Courier New" w:hAnsi="Courier New"/>
          <w:color w:val="1F2937"/>
          <w:sz w:val="18"/>
          <w:szCs w:val="18"/>
        </w:rPr>
        <w:t xml:space="preserve">cd frontend</w:t>
      </w:r>
    </w:p>
    <w:p>
      <w:pPr>
        <w:shd w:color="F3F4F6" w:val="solid"/>
        <w:spacing w:after="60" w:before="60"/>
        <w:ind w:left="360"/>
      </w:pPr>
      <w:r>
        <w:rPr>
          <w:rFonts w:ascii="Courier New" w:cs="Courier New" w:eastAsia="Courier New" w:hAnsi="Courier New"/>
          <w:color w:val="1F2937"/>
          <w:sz w:val="18"/>
          <w:szCs w:val="18"/>
        </w:rPr>
        <w:t xml:space="preserve">npm install</w:t>
      </w:r>
    </w:p>
    <w:p>
      <w:pPr>
        <w:shd w:color="F3F4F6" w:val="solid"/>
        <w:spacing w:after="60" w:before="60"/>
        <w:ind w:left="360"/>
      </w:pPr>
      <w:r>
        <w:rPr>
          <w:rFonts w:ascii="Courier New" w:cs="Courier New" w:eastAsia="Courier New" w:hAnsi="Courier New"/>
          <w:color w:val="1F2937"/>
          <w:sz w:val="18"/>
          <w:szCs w:val="18"/>
        </w:rPr>
        <w:t xml:space="preserve">npm run dev         # web at http://localhost:5173</w:t>
      </w:r>
    </w:p>
    <w:p>
      <w:pPr>
        <w:shd w:color="F3F4F6" w:val="solid"/>
        <w:spacing w:after="60" w:before="60"/>
        <w:ind w:left="360"/>
      </w:pPr>
      <w:r>
        <w:rPr>
          <w:rFonts w:ascii="Courier New" w:cs="Courier New" w:eastAsia="Courier New" w:hAnsi="Courier New"/>
          <w:color w:val="1F2937"/>
          <w:sz w:val="18"/>
          <w:szCs w:val="18"/>
        </w:rPr>
        <w:t xml:space="preserve">npm run electron    # desktop</w:t>
      </w:r>
    </w:p>
    <w:p>
      <w:pPr>
        <w:spacing w:after="100" w:before="100"/>
      </w:pPr>
    </w:p>
    <w:p>
      <w:pPr>
        <w:pStyle w:val="Heading2"/>
        <w:spacing w:after="80" w:before="200"/>
      </w:pPr>
      <w:r>
        <w:rPr>
          <w:rFonts w:ascii="Calibri" w:cs="Calibri" w:eastAsia="Calibri" w:hAnsi="Calibri"/>
          <w:b/>
          <w:bCs/>
          <w:color w:val="2563EB"/>
          <w:sz w:val="24"/>
          <w:szCs w:val="24"/>
        </w:rPr>
        <w:t xml:space="preserve">Docker (full stack)</w:t>
      </w:r>
    </w:p>
    <w:p>
      <w:pPr>
        <w:shd w:color="F3F4F6" w:val="solid"/>
        <w:spacing w:after="60" w:before="60"/>
        <w:ind w:left="360"/>
      </w:pPr>
      <w:r>
        <w:rPr>
          <w:rFonts w:ascii="Courier New" w:cs="Courier New" w:eastAsia="Courier New" w:hAnsi="Courier New"/>
          <w:color w:val="1F2937"/>
          <w:sz w:val="18"/>
          <w:szCs w:val="18"/>
        </w:rPr>
        <w:t xml:space="preserve">docker-compose up</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10. Skills Demonstrated</w:t>
      </w:r>
    </w:p>
    <w:p>
      <w:pPr>
        <w:pStyle w:val="ListParagraph"/>
        <w:numPr>
          <w:ilvl w:val="0"/>
          <w:numId w:val="1"/>
        </w:numPr>
        <w:spacing w:after="60" w:before="60"/>
      </w:pPr>
      <w:r>
        <w:rPr>
          <w:rFonts w:ascii="Calibri" w:cs="Calibri" w:eastAsia="Calibri" w:hAnsi="Calibri"/>
          <w:b w:val="false"/>
          <w:bCs w:val="false"/>
          <w:sz w:val="20"/>
          <w:szCs w:val="20"/>
        </w:rPr>
        <w:t xml:space="preserve">Full-Stack TypeScript/Python Development — end-to-end type safety from React UI to FastAPI schemas</w:t>
      </w:r>
    </w:p>
    <w:p>
      <w:pPr>
        <w:pStyle w:val="ListParagraph"/>
        <w:numPr>
          <w:ilvl w:val="0"/>
          <w:numId w:val="1"/>
        </w:numPr>
        <w:spacing w:after="60" w:before="60"/>
      </w:pPr>
      <w:r>
        <w:rPr>
          <w:rFonts w:ascii="Calibri" w:cs="Calibri" w:eastAsia="Calibri" w:hAnsi="Calibri"/>
          <w:b w:val="false"/>
          <w:bCs w:val="false"/>
          <w:sz w:val="20"/>
          <w:szCs w:val="20"/>
        </w:rPr>
        <w:t xml:space="preserve">Cross-Platform Frontend Engineering — single React codebase targeting web, PWA, desktop, and mobile</w:t>
      </w:r>
    </w:p>
    <w:p>
      <w:pPr>
        <w:pStyle w:val="ListParagraph"/>
        <w:numPr>
          <w:ilvl w:val="0"/>
          <w:numId w:val="1"/>
        </w:numPr>
        <w:spacing w:after="60" w:before="60"/>
      </w:pPr>
      <w:r>
        <w:rPr>
          <w:rFonts w:ascii="Calibri" w:cs="Calibri" w:eastAsia="Calibri" w:hAnsi="Calibri"/>
          <w:b w:val="false"/>
          <w:bCs w:val="false"/>
          <w:sz w:val="20"/>
          <w:szCs w:val="20"/>
        </w:rPr>
        <w:t xml:space="preserve">Async Backend Architecture — FastAPI with async SQLAlchemy and non-blocking I/O throughout</w:t>
      </w:r>
    </w:p>
    <w:p>
      <w:pPr>
        <w:pStyle w:val="ListParagraph"/>
        <w:numPr>
          <w:ilvl w:val="0"/>
          <w:numId w:val="1"/>
        </w:numPr>
        <w:spacing w:after="60" w:before="60"/>
      </w:pPr>
      <w:r>
        <w:rPr>
          <w:rFonts w:ascii="Calibri" w:cs="Calibri" w:eastAsia="Calibri" w:hAnsi="Calibri"/>
          <w:b w:val="false"/>
          <w:bCs w:val="false"/>
          <w:sz w:val="20"/>
          <w:szCs w:val="20"/>
        </w:rPr>
        <w:t xml:space="preserve">Background Job Systems — Arq task queue for reliable, decoupled notification delivery</w:t>
      </w:r>
    </w:p>
    <w:p>
      <w:pPr>
        <w:pStyle w:val="ListParagraph"/>
        <w:numPr>
          <w:ilvl w:val="0"/>
          <w:numId w:val="1"/>
        </w:numPr>
        <w:spacing w:after="60" w:before="60"/>
      </w:pPr>
      <w:r>
        <w:rPr>
          <w:rFonts w:ascii="Calibri" w:cs="Calibri" w:eastAsia="Calibri" w:hAnsi="Calibri"/>
          <w:b w:val="false"/>
          <w:bCs w:val="false"/>
          <w:sz w:val="20"/>
          <w:szCs w:val="20"/>
        </w:rPr>
        <w:t xml:space="preserve">Database Design — relational schema with ORM, async access patterns, and Alembic migrations</w:t>
      </w:r>
    </w:p>
    <w:p>
      <w:pPr>
        <w:pStyle w:val="ListParagraph"/>
        <w:numPr>
          <w:ilvl w:val="0"/>
          <w:numId w:val="1"/>
        </w:numPr>
        <w:spacing w:after="60" w:before="60"/>
      </w:pPr>
      <w:r>
        <w:rPr>
          <w:rFonts w:ascii="Calibri" w:cs="Calibri" w:eastAsia="Calibri" w:hAnsi="Calibri"/>
          <w:b w:val="false"/>
          <w:bCs w:val="false"/>
          <w:sz w:val="20"/>
          <w:szCs w:val="20"/>
        </w:rPr>
        <w:t xml:space="preserve">Authentication Engineering — JWT with dual delivery mode (cookie + Bearer)</w:t>
      </w:r>
    </w:p>
    <w:p>
      <w:pPr>
        <w:pStyle w:val="ListParagraph"/>
        <w:numPr>
          <w:ilvl w:val="0"/>
          <w:numId w:val="1"/>
        </w:numPr>
        <w:spacing w:after="60" w:before="60"/>
      </w:pPr>
      <w:r>
        <w:rPr>
          <w:rFonts w:ascii="Calibri" w:cs="Calibri" w:eastAsia="Calibri" w:hAnsi="Calibri"/>
          <w:b w:val="false"/>
          <w:bCs w:val="false"/>
          <w:sz w:val="20"/>
          <w:szCs w:val="20"/>
        </w:rPr>
        <w:t xml:space="preserve">DevOps — Railway multi-service deployment, Docker Compose, Vercel CI/CD</w:t>
      </w:r>
    </w:p>
    <w:p>
      <w:pPr>
        <w:pStyle w:val="ListParagraph"/>
        <w:numPr>
          <w:ilvl w:val="0"/>
          <w:numId w:val="1"/>
        </w:numPr>
        <w:spacing w:after="60" w:before="60"/>
      </w:pPr>
      <w:r>
        <w:rPr>
          <w:rFonts w:ascii="Calibri" w:cs="Calibri" w:eastAsia="Calibri" w:hAnsi="Calibri"/>
          <w:b w:val="false"/>
          <w:bCs w:val="false"/>
          <w:sz w:val="20"/>
          <w:szCs w:val="20"/>
        </w:rPr>
        <w:t xml:space="preserve">Testing — Vitest unit tests, Playwright E2E, React Testing Library</w:t>
      </w:r>
    </w:p>
    <w:p>
      <w:pPr>
        <w:spacing w:after="100" w:before="100"/>
      </w:pPr>
    </w:p>
    <w:p>
      <w:pPr>
        <w:pStyle w:val="Heading1"/>
        <w:pBdr>
          <w:bottom w:val="single" w:color="E06C00" w:sz="6"/>
        </w:pBdr>
        <w:spacing w:after="120" w:before="300"/>
      </w:pPr>
      <w:r>
        <w:rPr>
          <w:rFonts w:ascii="Calibri" w:cs="Calibri" w:eastAsia="Calibri" w:hAnsi="Calibri"/>
          <w:b/>
          <w:bCs/>
          <w:color w:val="E06C00"/>
          <w:sz w:val="28"/>
          <w:szCs w:val="28"/>
        </w:rPr>
        <w:t xml:space="preserve">Conclusion</w:t>
      </w:r>
    </w:p>
    <w:p>
      <w:pPr>
        <w:spacing w:after="80" w:before="80"/>
      </w:pPr>
      <w:r>
        <w:rPr>
          <w:rFonts w:ascii="Calibri" w:cs="Calibri" w:eastAsia="Calibri" w:hAnsi="Calibri"/>
          <w:sz w:val="20"/>
          <w:szCs w:val="20"/>
        </w:rPr>
        <w:t xml:space="preserve">Orbit Launcher is a production-deployed, full-stack SaaS product demonstrating end-to-end engineering capability. A single React codebase delivers web, PWA, desktop, and mobile experiences. A fully async FastAPI backend with background jobs, push notifications, and JWT auth serves it all — typed, tested, and live.</w:t>
      </w:r>
    </w:p>
    <w:p>
      <w:pPr>
        <w:spacing w:after="100" w:before="100"/>
      </w:pPr>
    </w:p>
    <w:p>
      <w:pPr>
        <w:spacing w:after="200" w:before="200"/>
        <w:jc w:val="center"/>
      </w:pPr>
      <w:r>
        <w:rPr>
          <w:rFonts w:ascii="Calibri" w:cs="Calibri" w:eastAsia="Calibri" w:hAnsi="Calibri"/>
          <w:i/>
          <w:iCs/>
          <w:color w:val="6B7280"/>
          <w:sz w:val="18"/>
          <w:szCs w:val="18"/>
        </w:rPr>
        <w:t xml:space="preserve">Stack: React · TypeScript · Vite · FastAPI · Python · PostgreSQL · Redis · Arq · Electron · Capacitor · Railway · Vercel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6C00" w:sz="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6"/>
      </w:pBdr>
      <w:jc w:val="right"/>
    </w:pPr>
    <w:r>
      <w:rPr>
        <w:rFonts w:ascii="Calibri" w:cs="Calibri" w:eastAsia="Calibri" w:hAnsi="Calibri"/>
        <w:color w:val="6B7280"/>
        <w:sz w:val="16"/>
        <w:szCs w:val="16"/>
      </w:rPr>
      <w:t xml:space="preserve">Orbit Launcher — Full-Stack Subscription Tracker  |  Arun Teja Vemula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Launcher — Full-Stack Subscription Tracker</dc:title>
  <dc:creator>Un-named</dc:creator>
  <dc:description>Technical report by Arun Teja Vemula</dc:description>
  <cp:lastModifiedBy>Un-named</cp:lastModifiedBy>
  <cp:revision>1</cp:revision>
  <dcterms:created xsi:type="dcterms:W3CDTF">2026-06-09T20:00:43.352Z</dcterms:created>
  <dcterms:modified xsi:type="dcterms:W3CDTF">2026-06-09T20:00:43.352Z</dcterms:modified>
</cp:coreProperties>
</file>

<file path=docProps/custom.xml><?xml version="1.0" encoding="utf-8"?>
<Properties xmlns="http://schemas.openxmlformats.org/officeDocument/2006/custom-properties" xmlns:vt="http://schemas.openxmlformats.org/officeDocument/2006/docPropsVTypes"/>
</file>