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640"/>
      </w:tblGrid>
      <w:tr>
        <w:trPr>
          <w:cantSplit/>
        </w:trPr>
        <w:tc>
          <w:tcPr>
            <w:tcW w:type="dxa" w:w="14640"/>
            <w:tcBorders>
              <w:top w:val="single" w:color="0D3B7A" w:sz="8"/>
              <w:left w:val="single" w:color="0D3B7A" w:sz="8"/>
              <w:bottom w:val="single" w:color="0D3B7A" w:sz="8"/>
              <w:right w:val="single" w:color="0D3B7A" w:sz="8"/>
            </w:tcBorders>
            <w:shd w:fill="0D3B7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Overall Architecture of the Proposed RepFormer-PCOS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340"/>
        <w:gridCol w:w="4400"/>
        <w:gridCol w:w="340"/>
        <w:gridCol w:w="3160"/>
      </w:tblGrid>
      <w:tr>
        <w:trPr>
          <w:cantSplit/>
        </w:trPr>
        <w:tc>
          <w:tcPr>
            <w:tcW w:type="dxa" w:w="6400"/>
            <w:tcBorders>
              <w:top w:val="single" w:color="2F7BD6" w:sz="12"/>
              <w:left w:val="single" w:color="2F7BD6" w:sz="12"/>
              <w:bottom w:val="single" w:color="2F7BD6" w:sz="12"/>
              <w:right w:val="single" w:color="2F7BD6" w:sz="12"/>
            </w:tcBorders>
            <w:shd w:fill="DCEB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E8C"/>
                <w:sz w:val="28"/>
                <w:szCs w:val="28"/>
              </w:rPr>
              <w:t xml:space="preserve">Input &amp; Preprocessing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619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280"/>
              <w:gridCol w:w="1250"/>
              <w:gridCol w:w="280"/>
              <w:gridCol w:w="1350"/>
              <w:gridCol w:w="280"/>
              <w:gridCol w:w="1500"/>
            </w:tblGrid>
            <w:tr>
              <w:trPr>
                <w:cantSplit/>
                <w:trHeight w:val="800" w:hRule="atLeast"/>
              </w:trPr>
              <w:tc>
                <w:tcPr>
                  <w:tcW w:type="dxa" w:w="125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CLAHE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25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Resize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35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1"/>
                      <w:szCs w:val="21"/>
                    </w:rPr>
                    <w:t xml:space="preserve">RGB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1"/>
                      <w:szCs w:val="21"/>
                    </w:rPr>
                    <w:t xml:space="preserve">Conversion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1"/>
                      <w:szCs w:val="21"/>
                    </w:rPr>
                    <w:t xml:space="preserve">Normalization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</w:rPr>
              <w:t xml:space="preserve">→</w:t>
            </w:r>
          </w:p>
        </w:tc>
        <w:tc>
          <w:tcPr>
            <w:tcW w:type="dxa" w:w="4400"/>
            <w:tcBorders>
              <w:top w:val="single" w:color="8A5CD0" w:sz="12"/>
              <w:left w:val="single" w:color="8A5CD0" w:sz="12"/>
              <w:bottom w:val="single" w:color="8A5CD0" w:sz="12"/>
              <w:right w:val="single" w:color="8A5CD0" w:sz="12"/>
            </w:tcBorders>
            <w:shd w:fill="EFE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1F7A"/>
                <w:sz w:val="22"/>
                <w:szCs w:val="22"/>
              </w:rPr>
              <w:t xml:space="preserve">Data Augmentation (Training Only)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3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900"/>
            </w:tblGrid>
            <w:tr>
              <w:trPr>
                <w:cantSplit/>
              </w:trPr>
              <w:tc>
                <w:tcPr>
                  <w:tcW w:type="dxa" w:w="3900"/>
                  <w:tcBorders>
                    <w:top w:val="single" w:color="F6F1FD" w:sz="8"/>
                    <w:left w:val="single" w:color="F6F1FD" w:sz="8"/>
                    <w:bottom w:val="single" w:color="F6F1FD" w:sz="8"/>
                    <w:right w:val="single" w:color="F6F1FD" w:sz="8"/>
                  </w:tcBorders>
                  <w:shd w:fill="F6F1FD" w:color="auto" w:val="clear"/>
                  <w:tcMar>
                    <w:top w:type="dxa" w:w="60"/>
                    <w:left w:type="dxa" w:w="5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19"/>
                      <w:szCs w:val="19"/>
                    </w:rPr>
                    <w:t xml:space="preserve">Flip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19"/>
                      <w:szCs w:val="19"/>
                    </w:rPr>
                    <w:t xml:space="preserve">Rotation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19"/>
                      <w:szCs w:val="19"/>
                    </w:rPr>
                    <w:t xml:space="preserve">Brightness &amp; Contrast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19"/>
                      <w:szCs w:val="19"/>
                    </w:rPr>
                    <w:t xml:space="preserve">Gaussian Noise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19"/>
                      <w:szCs w:val="19"/>
                    </w:rPr>
                    <w:t xml:space="preserve">Elastic Transformation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</w:rPr>
              <w:t xml:space="preserve">→</w:t>
            </w:r>
          </w:p>
        </w:tc>
        <w:tc>
          <w:tcPr>
            <w:tcW w:type="dxa" w:w="3160"/>
            <w:tcBorders>
              <w:top w:val="single" w:color="3E9A3E" w:sz="12"/>
              <w:left w:val="single" w:color="3E9A3E" w:sz="12"/>
              <w:bottom w:val="single" w:color="3E9A3E" w:sz="12"/>
              <w:right w:val="single" w:color="3E9A3E" w:sz="12"/>
            </w:tcBorders>
            <w:shd w:fill="E3F5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Preprocessed Image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</w:tblGrid>
            <w:tr>
              <w:trPr>
                <w:cantSplit/>
                <w:trHeight w:val="800" w:hRule="atLeast"/>
              </w:trPr>
              <w:tc>
                <w:tcPr>
                  <w:tcW w:type="dxa" w:w="1500"/>
                  <w:tcBorders>
                    <w:top w:val="single" w:color="111111" w:sz="8"/>
                    <w:left w:val="single" w:color="111111" w:sz="8"/>
                    <w:bottom w:val="single" w:color="111111" w:sz="8"/>
                    <w:right w:val="single" w:color="111111" w:sz="8"/>
                  </w:tcBorders>
                  <w:shd w:fill="2B2B2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D1D5DB"/>
                      <w:sz w:val="14"/>
                      <w:szCs w:val="14"/>
                    </w:rPr>
                    <w:t xml:space="preserve">ultrasound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D1D5DB"/>
                      <w:sz w:val="14"/>
                      <w:szCs w:val="14"/>
                    </w:rPr>
                    <w:t xml:space="preserve">image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224 × 224 × 3</w:t>
            </w:r>
          </w:p>
          <w:p>
            <w:pPr>
              <w:spacing w:after="0" w:before="0"/>
              <w:jc w:val="center"/>
            </w:pPr>
          </w:p>
        </w:tc>
      </w:tr>
    </w:tbl>
    <w:p>
      <w:pPr>
        <w:spacing w:after="20" w:before="20"/>
        <w:ind w:right="1400"/>
        <w:jc w:val="right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↓</w:t>
      </w:r>
    </w:p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640"/>
      </w:tblGrid>
      <w:tr>
        <w:trPr>
          <w:cantSplit/>
        </w:trPr>
        <w:tc>
          <w:tcPr>
            <w:tcW w:type="dxa" w:w="14640"/>
            <w:tcBorders>
              <w:top w:val="single" w:color="F0A030" w:sz="12"/>
              <w:left w:val="single" w:color="F0A030" w:sz="12"/>
              <w:bottom w:val="single" w:color="F0A030" w:sz="12"/>
              <w:right w:val="single" w:color="F0A030" w:sz="12"/>
            </w:tcBorders>
            <w:shd w:fill="FFF1D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E8C"/>
                <w:sz w:val="28"/>
                <w:szCs w:val="28"/>
              </w:rPr>
              <w:t xml:space="preserve">Dual-Branch Feature Extraction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1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400"/>
              <w:gridCol w:w="400"/>
              <w:gridCol w:w="2600"/>
              <w:gridCol w:w="400"/>
              <w:gridCol w:w="2200"/>
              <w:gridCol w:w="400"/>
              <w:gridCol w:w="2400"/>
            </w:tblGrid>
            <w:tr>
              <w:trPr>
                <w:cantSplit/>
                <w:trHeight w:val="640" w:hRule="atLeast"/>
              </w:trPr>
              <w:tc>
                <w:tcPr>
                  <w:tcW w:type="dxa" w:w="5400"/>
                  <w:tcBorders>
                    <w:top w:val="single" w:color="2AA5CF" w:sz="8"/>
                    <w:left w:val="single" w:color="2AA5CF" w:sz="8"/>
                    <w:bottom w:val="single" w:color="2AA5CF" w:sz="8"/>
                    <w:right w:val="single" w:color="2AA5CF" w:sz="8"/>
                  </w:tcBorders>
                  <w:shd w:fill="DDF5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4"/>
                      <w:szCs w:val="24"/>
                    </w:rPr>
                    <w:t xml:space="preserve">RepViT-M2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(Convolution-Oriented Branch)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6"/>
                      <w:szCs w:val="26"/>
                    </w:rPr>
                    <w:t xml:space="preserve">→</w:t>
                  </w:r>
                </w:p>
              </w:tc>
              <w:tc>
                <w:tcPr>
                  <w:tcW w:type="dxa" w:w="2600"/>
                  <w:vMerge w:val="restart"/>
                  <w:tcBorders>
                    <w:top w:val="single" w:color="D6336C" w:sz="8"/>
                    <w:left w:val="single" w:color="D6336C" w:sz="8"/>
                    <w:bottom w:val="single" w:color="D6336C" w:sz="8"/>
                    <w:right w:val="single" w:color="D6336C" w:sz="8"/>
                  </w:tcBorders>
                  <w:shd w:fill="F9D3E3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A1B3F"/>
                      <w:sz w:val="26"/>
                      <w:szCs w:val="26"/>
                    </w:rPr>
                    <w:t xml:space="preserve">Bidirectional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A1B3F"/>
                      <w:sz w:val="26"/>
                      <w:szCs w:val="26"/>
                    </w:rPr>
                    <w:t xml:space="preserve">Cross-Attention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A1B3F"/>
                      <w:sz w:val="22"/>
                      <w:szCs w:val="22"/>
                    </w:rPr>
                    <w:t xml:space="preserve">(8 Heads)</w:t>
                  </w:r>
                </w:p>
              </w:tc>
              <w:tc>
                <w:tcPr>
                  <w:tcW w:type="dxa" w:w="4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6"/>
                      <w:szCs w:val="26"/>
                    </w:rPr>
                    <w:t xml:space="preserve">→</w:t>
                  </w:r>
                </w:p>
              </w:tc>
              <w:tc>
                <w:tcPr>
                  <w:tcW w:type="dxa" w:w="2200"/>
                  <w:vMerge w:val="restart"/>
                  <w:tcBorders>
                    <w:top w:val="single" w:color="8A5CD0" w:sz="8"/>
                    <w:left w:val="single" w:color="8A5CD0" w:sz="8"/>
                    <w:bottom w:val="single" w:color="8A5CD0" w:sz="8"/>
                    <w:right w:val="single" w:color="8A5CD0" w:sz="8"/>
                  </w:tcBorders>
                  <w:shd w:fill="E4DAF6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26"/>
                      <w:szCs w:val="26"/>
                    </w:rPr>
                    <w:t xml:space="preserve">Adaptive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7A"/>
                      <w:sz w:val="26"/>
                      <w:szCs w:val="26"/>
                    </w:rPr>
                    <w:t xml:space="preserve">Gating</w:t>
                  </w:r>
                </w:p>
              </w:tc>
              <w:tc>
                <w:tcPr>
                  <w:tcW w:type="dxa" w:w="40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6"/>
                      <w:szCs w:val="26"/>
                    </w:rPr>
                    <w:t xml:space="preserve">→</w:t>
                  </w:r>
                </w:p>
              </w:tc>
              <w:tc>
                <w:tcPr>
                  <w:tcW w:type="dxa" w:w="2400"/>
                  <w:vMerge w:val="restart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6"/>
                      <w:szCs w:val="26"/>
                    </w:rPr>
                    <w:t xml:space="preserve">Feature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6"/>
                      <w:szCs w:val="26"/>
                    </w:rPr>
                    <w:t xml:space="preserve">Fusion</w:t>
                  </w:r>
                </w:p>
              </w:tc>
            </w:tr>
            <w:tr>
              <w:trPr>
                <w:trHeight w:val="160" w:hRule="exact"/>
              </w:trP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</w:p>
              </w:tc>
              <w:tc>
                <w:tcPr>
                  <w:vMerge w:val="continue"/>
                  <w:tcBorders>
                    <w:top w:val="single" w:color="D6336C" w:sz="8"/>
                    <w:left w:val="single" w:color="D6336C" w:sz="8"/>
                    <w:bottom w:val="single" w:color="D6336C" w:sz="8"/>
                    <w:right w:val="single" w:color="D6336C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8A5CD0" w:sz="8"/>
                    <w:left w:val="single" w:color="8A5CD0" w:sz="8"/>
                    <w:bottom w:val="single" w:color="8A5CD0" w:sz="8"/>
                    <w:right w:val="single" w:color="8A5CD0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</w:tcPr>
                <w:p/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5400"/>
                  <w:tcBorders>
                    <w:top w:val="single" w:color="3E9A3E" w:sz="8"/>
                    <w:left w:val="single" w:color="3E9A3E" w:sz="8"/>
                    <w:bottom w:val="single" w:color="3E9A3E" w:sz="8"/>
                    <w:right w:val="single" w:color="3E9A3E" w:sz="8"/>
                  </w:tcBorders>
                  <w:shd w:fill="D5F0D5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4"/>
                      <w:szCs w:val="24"/>
                    </w:rPr>
                    <w:t xml:space="preserve">EfficientViT-B2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E8C"/>
                      <w:sz w:val="17"/>
                      <w:szCs w:val="17"/>
                    </w:rPr>
                    <w:t xml:space="preserve">(Attention-Oriented Branch)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6"/>
                      <w:szCs w:val="26"/>
                    </w:rPr>
                    <w:t xml:space="preserve">→</w:t>
                  </w:r>
                </w:p>
              </w:tc>
              <w:tc>
                <w:tcPr>
                  <w:vMerge w:val="continue"/>
                  <w:tcBorders>
                    <w:top w:val="single" w:color="D6336C" w:sz="8"/>
                    <w:left w:val="single" w:color="D6336C" w:sz="8"/>
                    <w:bottom w:val="single" w:color="D6336C" w:sz="8"/>
                    <w:right w:val="single" w:color="D6336C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8A5CD0" w:sz="8"/>
                    <w:left w:val="single" w:color="8A5CD0" w:sz="8"/>
                    <w:bottom w:val="single" w:color="8A5CD0" w:sz="8"/>
                    <w:right w:val="single" w:color="8A5CD0" w:sz="8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</w:tcPr>
                <w:p/>
              </w:tc>
            </w:tr>
          </w:tbl>
          <w:p>
            <w:pPr>
              <w:spacing w:after="0" w:before="0"/>
              <w:jc w:val="center"/>
            </w:pPr>
          </w:p>
        </w:tc>
      </w:tr>
    </w:tbl>
    <w:p>
      <w:pPr>
        <w:spacing w:after="20" w:before="20"/>
        <w:ind w:right="1700"/>
        <w:jc w:val="right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↓</w:t>
      </w:r>
    </w:p>
    <w:tbl>
      <w:tblPr>
        <w:tblW w:type="dxa" w:w="14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3200"/>
        <w:gridCol w:w="400"/>
        <w:gridCol w:w="9340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3200"/>
            <w:tcBorders>
              <w:top w:val="single" w:color="D6336C" w:sz="12"/>
              <w:left w:val="single" w:color="D6336C" w:sz="12"/>
              <w:bottom w:val="single" w:color="D6336C" w:sz="12"/>
              <w:right w:val="single" w:color="D6336C" w:sz="12"/>
            </w:tcBorders>
            <w:shd w:fill="FBDDE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124F"/>
                <w:sz w:val="24"/>
                <w:szCs w:val="24"/>
              </w:rPr>
              <w:t xml:space="preserve">Prediction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2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800"/>
            </w:tblGrid>
            <w:tr>
              <w:trPr>
                <w:cantSplit/>
                <w:trHeight w:val="900" w:hRule="atLeast"/>
              </w:trPr>
              <w:tc>
                <w:tcPr>
                  <w:tcW w:type="dxa" w:w="2800"/>
                  <w:tcBorders>
                    <w:top w:val="single" w:color="D6336C" w:sz="8"/>
                    <w:left w:val="single" w:color="D6336C" w:sz="8"/>
                    <w:bottom w:val="single" w:color="D6336C" w:sz="8"/>
                    <w:right w:val="single" w:color="D6336C" w:sz="8"/>
                  </w:tcBorders>
                  <w:shd w:fill="FDE8EF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24"/>
                      <w:szCs w:val="24"/>
                    </w:rPr>
                    <w:t xml:space="preserve">Normal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24"/>
                      <w:szCs w:val="24"/>
                    </w:rPr>
                    <w:t xml:space="preserve">or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1F4F"/>
                      <w:sz w:val="24"/>
                      <w:szCs w:val="24"/>
                    </w:rPr>
                    <w:t xml:space="preserve">PCOS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30"/>
                <w:szCs w:val="30"/>
              </w:rPr>
              <w:t xml:space="preserve">←</w:t>
            </w:r>
          </w:p>
        </w:tc>
        <w:tc>
          <w:tcPr>
            <w:tcW w:type="dxa" w:w="9340"/>
            <w:tcBorders>
              <w:top w:val="single" w:color="2AA5CF" w:sz="12"/>
              <w:left w:val="single" w:color="2AA5CF" w:sz="12"/>
              <w:bottom w:val="single" w:color="2AA5CF" w:sz="12"/>
              <w:right w:val="single" w:color="2AA5CF" w:sz="12"/>
            </w:tcBorders>
            <w:shd w:fill="D9F2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E8C"/>
                <w:sz w:val="24"/>
                <w:szCs w:val="24"/>
              </w:rPr>
              <w:t xml:space="preserve">Classification Head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89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350"/>
              <w:gridCol w:w="1500"/>
              <w:gridCol w:w="350"/>
              <w:gridCol w:w="1500"/>
              <w:gridCol w:w="350"/>
              <w:gridCol w:w="1500"/>
              <w:gridCol w:w="350"/>
              <w:gridCol w:w="1500"/>
            </w:tblGrid>
            <w:tr>
              <w:trPr>
                <w:cantSplit/>
                <w:trHeight w:val="720" w:hRule="atLeast"/>
              </w:trPr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FC</w:t>
                  </w:r>
                </w:p>
              </w:tc>
              <w:tc>
                <w:tcPr>
                  <w:tcW w:type="dxa" w:w="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ReLU</w:t>
                  </w:r>
                </w:p>
              </w:tc>
              <w:tc>
                <w:tcPr>
                  <w:tcW w:type="dxa" w:w="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Dropout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F2937"/>
                      <w:sz w:val="20"/>
                      <w:szCs w:val="20"/>
                    </w:rPr>
                    <w:t xml:space="preserve">(0.3)</w:t>
                  </w:r>
                </w:p>
              </w:tc>
              <w:tc>
                <w:tcPr>
                  <w:tcW w:type="dxa" w:w="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FC</w:t>
                  </w:r>
                </w:p>
              </w:tc>
              <w:tc>
                <w:tcPr>
                  <w:tcW w:type="dxa" w:w="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8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1500"/>
                  <w:tcBorders>
                    <w:top w:val="single" w:color="2F7BD6" w:sz="8"/>
                    <w:left w:val="single" w:color="2F7BD6" w:sz="8"/>
                    <w:bottom w:val="single" w:color="2F7BD6" w:sz="8"/>
                    <w:right w:val="single" w:color="2F7BD6" w:sz="8"/>
                  </w:tcBorders>
                  <w:shd w:fill="D6E8FB" w:color="auto" w:val="clear"/>
                  <w:tcMar>
                    <w:top w:type="dxa" w:w="40"/>
                    <w:left w:type="dxa" w:w="50"/>
                    <w:bottom w:type="dxa" w:w="40"/>
                    <w:right w:type="dxa" w:w="5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2E8C"/>
                      <w:sz w:val="22"/>
                      <w:szCs w:val="22"/>
                    </w:rPr>
                    <w:t xml:space="preserve">Softmax</w:t>
                  </w:r>
                </w:p>
              </w:tc>
            </w:tr>
          </w:tbl>
          <w:p>
            <w:pPr>
              <w:spacing w:after="0" w:before="0"/>
              <w:jc w:val="center"/>
            </w:pPr>
          </w:p>
        </w:tc>
      </w:tr>
    </w:tbl>
    <w:p>
      <w:pPr>
        <w:spacing w:before="140"/>
        <w:jc w:val="center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Fig. 3. Overall architecture of the proposed RepFormer-PCOS.</w:t>
      </w:r>
    </w:p>
    <w:sectPr>
      <w:pgSz w:w="15840" w:h="12240" w:orient="landscape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2026-10-08T10:08:05.528Z</dcterms:created>
  <dcterms:modified xsi:type="dcterms:W3CDTF">2026-10-08T10:08:05.529Z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