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0A05F" w14:textId="6EC82E1C" w:rsidR="00B20D72" w:rsidRDefault="00CA2660" w:rsidP="00CA2660">
      <w:pPr>
        <w:pStyle w:val="Title"/>
        <w:jc w:val="center"/>
        <w:rPr>
          <w:color w:val="4472C4" w:themeColor="accent1"/>
        </w:rPr>
      </w:pPr>
      <w:r w:rsidRPr="00CA2660">
        <w:rPr>
          <w:color w:val="4472C4" w:themeColor="accent1"/>
        </w:rPr>
        <w:t>A Secure and Flexible Blockchain-Based Offline Payment Protocol</w:t>
      </w:r>
    </w:p>
    <w:p w14:paraId="109DC8FC" w14:textId="103412BD" w:rsidR="00CA2660" w:rsidRDefault="00CA2660" w:rsidP="00CA2660"/>
    <w:p w14:paraId="38BF9010" w14:textId="28363086" w:rsidR="00CA2660" w:rsidRDefault="00CA2660" w:rsidP="00CA2660">
      <w:pPr>
        <w:rPr>
          <w:rFonts w:ascii="Times New Roman" w:hAnsi="Times New Roman" w:cs="Times New Roman"/>
          <w:b/>
          <w:bCs/>
          <w:sz w:val="28"/>
          <w:szCs w:val="28"/>
          <w:u w:val="single"/>
        </w:rPr>
      </w:pPr>
      <w:proofErr w:type="gramStart"/>
      <w:r w:rsidRPr="00CA2660">
        <w:rPr>
          <w:rFonts w:ascii="Times New Roman" w:hAnsi="Times New Roman" w:cs="Times New Roman"/>
          <w:b/>
          <w:bCs/>
          <w:sz w:val="28"/>
          <w:szCs w:val="28"/>
          <w:u w:val="single"/>
        </w:rPr>
        <w:t>ABSTRACT</w:t>
      </w:r>
      <w:r>
        <w:rPr>
          <w:rFonts w:ascii="Times New Roman" w:hAnsi="Times New Roman" w:cs="Times New Roman"/>
          <w:b/>
          <w:bCs/>
          <w:sz w:val="28"/>
          <w:szCs w:val="28"/>
          <w:u w:val="single"/>
        </w:rPr>
        <w:t xml:space="preserve"> :</w:t>
      </w:r>
      <w:proofErr w:type="gramEnd"/>
    </w:p>
    <w:p w14:paraId="21186F37" w14:textId="77777777" w:rsidR="00CA2660" w:rsidRPr="00CA2660" w:rsidRDefault="00CA2660" w:rsidP="00CA2660">
      <w:pPr>
        <w:pStyle w:val="NormalWeb"/>
        <w:rPr>
          <w:sz w:val="27"/>
          <w:szCs w:val="27"/>
        </w:rPr>
      </w:pPr>
      <w:r w:rsidRPr="00CA2660">
        <w:rPr>
          <w:sz w:val="27"/>
          <w:szCs w:val="27"/>
        </w:rPr>
        <w:t xml:space="preserve">In the modern digital era, financial transactions are rapidly transitioning towards online and blockchain-based payment systems. However, in many real-world scenarios, online transactions may not always be feasible due to network limitations, cybersecurity concerns, or user privacy preferences. The proposed application, </w:t>
      </w:r>
      <w:r w:rsidRPr="00CA2660">
        <w:rPr>
          <w:rStyle w:val="Strong"/>
          <w:sz w:val="27"/>
          <w:szCs w:val="27"/>
        </w:rPr>
        <w:t>A Secure and Flexible Blockchain-Based Offline Payment Protocol</w:t>
      </w:r>
      <w:r w:rsidRPr="00CA2660">
        <w:rPr>
          <w:sz w:val="27"/>
          <w:szCs w:val="27"/>
        </w:rPr>
        <w:t xml:space="preserve">, addresses these challenges by leveraging blockchain technology to facilitate secure, transparent, and tamper-proof offline transactions. This system ensures that payments can be conducted without requiring a continuous internet connection while maintaining the benefits of blockchain’s decentralized security framework. By integrating cryptographic techniques such as </w:t>
      </w:r>
      <w:r w:rsidRPr="00CA2660">
        <w:rPr>
          <w:rStyle w:val="Strong"/>
          <w:sz w:val="27"/>
          <w:szCs w:val="27"/>
        </w:rPr>
        <w:t>zero-knowledge proofs (ZKP), digital signatures, and hashed time-locked contracts (HTLCs)</w:t>
      </w:r>
      <w:r w:rsidRPr="00CA2660">
        <w:rPr>
          <w:sz w:val="27"/>
          <w:szCs w:val="27"/>
        </w:rPr>
        <w:t xml:space="preserve">, the protocol guarantees </w:t>
      </w:r>
      <w:r w:rsidRPr="00CA2660">
        <w:rPr>
          <w:rStyle w:val="Strong"/>
          <w:sz w:val="27"/>
          <w:szCs w:val="27"/>
        </w:rPr>
        <w:t>transaction integrity, user anonymity, and fraud prevention</w:t>
      </w:r>
      <w:r w:rsidRPr="00CA2660">
        <w:rPr>
          <w:sz w:val="27"/>
          <w:szCs w:val="27"/>
        </w:rPr>
        <w:t xml:space="preserve">. Additionally, the system incorporates </w:t>
      </w:r>
      <w:r w:rsidRPr="00CA2660">
        <w:rPr>
          <w:rStyle w:val="Strong"/>
          <w:sz w:val="27"/>
          <w:szCs w:val="27"/>
        </w:rPr>
        <w:t>smart contracts</w:t>
      </w:r>
      <w:r w:rsidRPr="00CA2660">
        <w:rPr>
          <w:sz w:val="27"/>
          <w:szCs w:val="27"/>
        </w:rPr>
        <w:t xml:space="preserve"> that are executed when a user regains internet access, ensuring that offline transactions are later synchronized with the blockchain to prevent double spending or unauthorized modifications. The payment protocol is designed to be highly flexible, supporting multiple digital assets, multi-party transactions, and cross-border payments without relying on a centralized authority.</w:t>
      </w:r>
    </w:p>
    <w:p w14:paraId="416F4907" w14:textId="77777777" w:rsidR="00CA2660" w:rsidRPr="00CA2660" w:rsidRDefault="00CA2660" w:rsidP="00CA2660">
      <w:pPr>
        <w:pStyle w:val="NormalWeb"/>
        <w:rPr>
          <w:sz w:val="27"/>
          <w:szCs w:val="27"/>
        </w:rPr>
      </w:pPr>
      <w:r w:rsidRPr="00CA2660">
        <w:rPr>
          <w:sz w:val="27"/>
          <w:szCs w:val="27"/>
        </w:rPr>
        <w:t xml:space="preserve">The implementation of this system in </w:t>
      </w:r>
      <w:r w:rsidRPr="00CA2660">
        <w:rPr>
          <w:rStyle w:val="Strong"/>
          <w:sz w:val="27"/>
          <w:szCs w:val="27"/>
        </w:rPr>
        <w:t>Python</w:t>
      </w:r>
      <w:r w:rsidRPr="00CA2660">
        <w:rPr>
          <w:sz w:val="27"/>
          <w:szCs w:val="27"/>
        </w:rPr>
        <w:t xml:space="preserve"> involves utilizing blockchain frameworks like </w:t>
      </w:r>
      <w:r w:rsidRPr="00CA2660">
        <w:rPr>
          <w:rStyle w:val="Strong"/>
          <w:sz w:val="27"/>
          <w:szCs w:val="27"/>
        </w:rPr>
        <w:t xml:space="preserve">Ethereum (Web3.py), Hyperledger Fabric, or </w:t>
      </w:r>
      <w:proofErr w:type="spellStart"/>
      <w:r w:rsidRPr="00CA2660">
        <w:rPr>
          <w:rStyle w:val="Strong"/>
          <w:sz w:val="27"/>
          <w:szCs w:val="27"/>
        </w:rPr>
        <w:t>Tendermint</w:t>
      </w:r>
      <w:proofErr w:type="spellEnd"/>
      <w:r w:rsidRPr="00CA2660">
        <w:rPr>
          <w:sz w:val="27"/>
          <w:szCs w:val="27"/>
        </w:rPr>
        <w:t xml:space="preserve">, along with cryptographic libraries such as </w:t>
      </w:r>
      <w:proofErr w:type="spellStart"/>
      <w:r w:rsidRPr="00CA2660">
        <w:rPr>
          <w:rStyle w:val="Strong"/>
          <w:sz w:val="27"/>
          <w:szCs w:val="27"/>
        </w:rPr>
        <w:t>PyCryptodome</w:t>
      </w:r>
      <w:proofErr w:type="spellEnd"/>
      <w:r w:rsidRPr="00CA2660">
        <w:rPr>
          <w:rStyle w:val="Strong"/>
          <w:sz w:val="27"/>
          <w:szCs w:val="27"/>
        </w:rPr>
        <w:t xml:space="preserve">, </w:t>
      </w:r>
      <w:proofErr w:type="spellStart"/>
      <w:r w:rsidRPr="00CA2660">
        <w:rPr>
          <w:rStyle w:val="Strong"/>
          <w:sz w:val="27"/>
          <w:szCs w:val="27"/>
        </w:rPr>
        <w:t>hashlib</w:t>
      </w:r>
      <w:proofErr w:type="spellEnd"/>
      <w:r w:rsidRPr="00CA2660">
        <w:rPr>
          <w:rStyle w:val="Strong"/>
          <w:sz w:val="27"/>
          <w:szCs w:val="27"/>
        </w:rPr>
        <w:t xml:space="preserve">, and </w:t>
      </w:r>
      <w:proofErr w:type="spellStart"/>
      <w:r w:rsidRPr="00CA2660">
        <w:rPr>
          <w:rStyle w:val="Strong"/>
          <w:sz w:val="27"/>
          <w:szCs w:val="27"/>
        </w:rPr>
        <w:t>ecdsa</w:t>
      </w:r>
      <w:proofErr w:type="spellEnd"/>
      <w:r w:rsidRPr="00CA2660">
        <w:rPr>
          <w:sz w:val="27"/>
          <w:szCs w:val="27"/>
        </w:rPr>
        <w:t xml:space="preserve"> for securing transactions. The application functions by generating a </w:t>
      </w:r>
      <w:r w:rsidRPr="00CA2660">
        <w:rPr>
          <w:rStyle w:val="Strong"/>
          <w:sz w:val="27"/>
          <w:szCs w:val="27"/>
        </w:rPr>
        <w:t>temporary, verifiable offline ledger</w:t>
      </w:r>
      <w:r w:rsidRPr="00CA2660">
        <w:rPr>
          <w:sz w:val="27"/>
          <w:szCs w:val="27"/>
        </w:rPr>
        <w:t xml:space="preserve"> where transactions are cryptographically signed by both sender and receiver. This ledger is then later validated and integrated into the main blockchain network when connectivity is restored. To enhance security, </w:t>
      </w:r>
      <w:r w:rsidRPr="00CA2660">
        <w:rPr>
          <w:rStyle w:val="Strong"/>
          <w:sz w:val="27"/>
          <w:szCs w:val="27"/>
        </w:rPr>
        <w:t>Shamir's Secret Sharing (SSS)</w:t>
      </w:r>
      <w:r w:rsidRPr="00CA2660">
        <w:rPr>
          <w:sz w:val="27"/>
          <w:szCs w:val="27"/>
        </w:rPr>
        <w:t xml:space="preserve"> can be used for splitting cryptographic keys across multiple trusted nodes, ensuring that even if a single node is compromised, transaction security remains intact. Additionally, a </w:t>
      </w:r>
      <w:proofErr w:type="spellStart"/>
      <w:r w:rsidRPr="00CA2660">
        <w:rPr>
          <w:rStyle w:val="Strong"/>
          <w:sz w:val="27"/>
          <w:szCs w:val="27"/>
        </w:rPr>
        <w:t>merkle</w:t>
      </w:r>
      <w:proofErr w:type="spellEnd"/>
      <w:r w:rsidRPr="00CA2660">
        <w:rPr>
          <w:rStyle w:val="Strong"/>
          <w:sz w:val="27"/>
          <w:szCs w:val="27"/>
        </w:rPr>
        <w:t xml:space="preserve"> tree-based validation</w:t>
      </w:r>
      <w:r w:rsidRPr="00CA2660">
        <w:rPr>
          <w:sz w:val="27"/>
          <w:szCs w:val="27"/>
        </w:rPr>
        <w:t xml:space="preserve"> ensures that transactions remain immutable once recorded. The </w:t>
      </w:r>
      <w:r w:rsidRPr="00CA2660">
        <w:rPr>
          <w:rStyle w:val="Strong"/>
          <w:sz w:val="27"/>
          <w:szCs w:val="27"/>
        </w:rPr>
        <w:t>user interface (UI)</w:t>
      </w:r>
      <w:r w:rsidRPr="00CA2660">
        <w:rPr>
          <w:sz w:val="27"/>
          <w:szCs w:val="27"/>
        </w:rPr>
        <w:t xml:space="preserve"> of this application can be built using </w:t>
      </w:r>
      <w:r w:rsidRPr="00CA2660">
        <w:rPr>
          <w:rStyle w:val="Strong"/>
          <w:sz w:val="27"/>
          <w:szCs w:val="27"/>
        </w:rPr>
        <w:t>Flask or Django for backend services</w:t>
      </w:r>
      <w:r w:rsidRPr="00CA2660">
        <w:rPr>
          <w:sz w:val="27"/>
          <w:szCs w:val="27"/>
        </w:rPr>
        <w:t xml:space="preserve">, while a lightweight </w:t>
      </w:r>
      <w:proofErr w:type="spellStart"/>
      <w:r w:rsidRPr="00CA2660">
        <w:rPr>
          <w:rStyle w:val="Strong"/>
          <w:sz w:val="27"/>
          <w:szCs w:val="27"/>
        </w:rPr>
        <w:t>React or</w:t>
      </w:r>
      <w:proofErr w:type="spellEnd"/>
      <w:r w:rsidRPr="00CA2660">
        <w:rPr>
          <w:rStyle w:val="Strong"/>
          <w:sz w:val="27"/>
          <w:szCs w:val="27"/>
        </w:rPr>
        <w:t xml:space="preserve"> </w:t>
      </w:r>
      <w:proofErr w:type="spellStart"/>
      <w:r w:rsidRPr="00CA2660">
        <w:rPr>
          <w:rStyle w:val="Strong"/>
          <w:sz w:val="27"/>
          <w:szCs w:val="27"/>
        </w:rPr>
        <w:t>Tkinter</w:t>
      </w:r>
      <w:proofErr w:type="spellEnd"/>
      <w:r w:rsidRPr="00CA2660">
        <w:rPr>
          <w:rStyle w:val="Strong"/>
          <w:sz w:val="27"/>
          <w:szCs w:val="27"/>
        </w:rPr>
        <w:t>-based frontend</w:t>
      </w:r>
      <w:r w:rsidRPr="00CA2660">
        <w:rPr>
          <w:sz w:val="27"/>
          <w:szCs w:val="27"/>
        </w:rPr>
        <w:t xml:space="preserve"> can provide a seamless experience for users. The system also includes an </w:t>
      </w:r>
      <w:r w:rsidRPr="00CA2660">
        <w:rPr>
          <w:rStyle w:val="Strong"/>
          <w:sz w:val="27"/>
          <w:szCs w:val="27"/>
        </w:rPr>
        <w:t>AI-driven fraud detection module</w:t>
      </w:r>
      <w:r w:rsidRPr="00CA2660">
        <w:rPr>
          <w:sz w:val="27"/>
          <w:szCs w:val="27"/>
        </w:rPr>
        <w:t xml:space="preserve"> that analyzes offline transactions and flags any suspicious activities before they are merged into the blockchain.</w:t>
      </w:r>
    </w:p>
    <w:p w14:paraId="41F044E5" w14:textId="77777777" w:rsidR="00CA2660" w:rsidRPr="00CA2660" w:rsidRDefault="00CA2660" w:rsidP="00CA2660">
      <w:pPr>
        <w:rPr>
          <w:rFonts w:ascii="Times New Roman" w:hAnsi="Times New Roman" w:cs="Times New Roman"/>
          <w:b/>
          <w:bCs/>
          <w:sz w:val="28"/>
          <w:szCs w:val="28"/>
          <w:u w:val="single"/>
        </w:rPr>
      </w:pPr>
    </w:p>
    <w:p w14:paraId="40F47504" w14:textId="14DA214B" w:rsidR="00CA2660" w:rsidRDefault="00CA2660" w:rsidP="00CA2660">
      <w:pPr>
        <w:rPr>
          <w:rFonts w:asciiTheme="majorHAnsi" w:eastAsiaTheme="majorEastAsia" w:hAnsiTheme="majorHAnsi" w:cstheme="majorBidi"/>
          <w:color w:val="4472C4" w:themeColor="accent1"/>
          <w:spacing w:val="-10"/>
          <w:kern w:val="28"/>
          <w:sz w:val="56"/>
          <w:szCs w:val="56"/>
        </w:rPr>
      </w:pPr>
    </w:p>
    <w:p w14:paraId="0F3BEAA7" w14:textId="08538FE7" w:rsidR="00CA2660" w:rsidRDefault="00CA2660" w:rsidP="00CA2660">
      <w:pPr>
        <w:rPr>
          <w:rFonts w:asciiTheme="majorHAnsi" w:eastAsiaTheme="majorEastAsia" w:hAnsiTheme="majorHAnsi" w:cstheme="majorBidi"/>
          <w:color w:val="4472C4" w:themeColor="accent1"/>
          <w:spacing w:val="-10"/>
          <w:kern w:val="28"/>
          <w:sz w:val="56"/>
          <w:szCs w:val="56"/>
        </w:rPr>
      </w:pPr>
    </w:p>
    <w:p w14:paraId="08C4539C" w14:textId="77777777" w:rsidR="00CA2660" w:rsidRDefault="00CA2660" w:rsidP="00CA2660">
      <w:pPr>
        <w:rPr>
          <w:rFonts w:asciiTheme="majorHAnsi" w:eastAsiaTheme="majorEastAsia" w:hAnsiTheme="majorHAnsi" w:cstheme="majorBidi"/>
          <w:color w:val="4472C4" w:themeColor="accent1"/>
          <w:spacing w:val="-10"/>
          <w:kern w:val="28"/>
          <w:sz w:val="56"/>
          <w:szCs w:val="56"/>
        </w:rPr>
      </w:pPr>
    </w:p>
    <w:p w14:paraId="345AA78A" w14:textId="77777777" w:rsidR="00CA2660" w:rsidRPr="00CA2660" w:rsidRDefault="00CA2660" w:rsidP="00CA2660"/>
    <w:sectPr w:rsidR="00CA2660" w:rsidRPr="00CA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60"/>
    <w:rsid w:val="000823DD"/>
    <w:rsid w:val="000A5FE7"/>
    <w:rsid w:val="00B20D72"/>
    <w:rsid w:val="00CA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3810"/>
  <w15:chartTrackingRefBased/>
  <w15:docId w15:val="{7D47565C-BC44-4F86-8B2C-4E0294EF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26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66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A26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2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0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2025-02-06T09:35:00Z</dcterms:created>
  <dcterms:modified xsi:type="dcterms:W3CDTF">2025-02-06T09:37:00Z</dcterms:modified>
</cp:coreProperties>
</file>