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8B4D" w14:textId="77777777" w:rsidR="00182C15" w:rsidRDefault="0023559E" w:rsidP="00C47E91">
      <w:pPr>
        <w:pStyle w:val="Heading5"/>
        <w:spacing w:before="59"/>
        <w:ind w:left="148" w:firstLine="0"/>
        <w:jc w:val="center"/>
      </w:pPr>
      <w:r>
        <w:t>SUMMER</w:t>
      </w:r>
      <w:r>
        <w:rPr>
          <w:spacing w:val="-11"/>
        </w:rPr>
        <w:t xml:space="preserve"> </w:t>
      </w:r>
      <w:r>
        <w:t>INTERNSHIP</w:t>
      </w:r>
      <w:r>
        <w:rPr>
          <w:spacing w:val="-10"/>
        </w:rPr>
        <w:t xml:space="preserve"> </w:t>
      </w:r>
      <w:r>
        <w:t>PROJECT</w:t>
      </w:r>
      <w:r>
        <w:rPr>
          <w:spacing w:val="-9"/>
        </w:rPr>
        <w:t xml:space="preserve"> </w:t>
      </w:r>
      <w:r>
        <w:rPr>
          <w:spacing w:val="-2"/>
        </w:rPr>
        <w:t>REPORT</w:t>
      </w:r>
    </w:p>
    <w:p w14:paraId="60B5D818" w14:textId="77777777" w:rsidR="00182C15" w:rsidRDefault="00182C15" w:rsidP="00C47E91">
      <w:pPr>
        <w:pStyle w:val="BodyText"/>
        <w:rPr>
          <w:b/>
          <w:sz w:val="28"/>
        </w:rPr>
      </w:pPr>
    </w:p>
    <w:p w14:paraId="3B3009BB" w14:textId="77777777" w:rsidR="00182C15" w:rsidRDefault="0023559E" w:rsidP="00C47E91">
      <w:pPr>
        <w:pStyle w:val="BodyText"/>
        <w:ind w:left="143"/>
        <w:jc w:val="center"/>
      </w:pPr>
      <w:r>
        <w:rPr>
          <w:spacing w:val="-5"/>
        </w:rPr>
        <w:t>On</w:t>
      </w:r>
    </w:p>
    <w:p w14:paraId="3CF20BD2" w14:textId="77777777" w:rsidR="00182C15" w:rsidRDefault="00182C15" w:rsidP="00C47E91">
      <w:pPr>
        <w:pStyle w:val="BodyText"/>
        <w:spacing w:before="134"/>
      </w:pPr>
    </w:p>
    <w:p w14:paraId="2CBC5CAB" w14:textId="4ABCEAE4" w:rsidR="00182C15" w:rsidRDefault="0023559E" w:rsidP="00C47E91">
      <w:pPr>
        <w:ind w:left="148"/>
        <w:jc w:val="center"/>
        <w:rPr>
          <w:sz w:val="28"/>
        </w:rPr>
      </w:pPr>
      <w:r>
        <w:rPr>
          <w:sz w:val="32"/>
          <w:u w:val="single"/>
        </w:rPr>
        <w:t>“</w:t>
      </w:r>
      <w:proofErr w:type="spellStart"/>
      <w:r w:rsidR="00306F86">
        <w:rPr>
          <w:sz w:val="32"/>
          <w:u w:val="single"/>
        </w:rPr>
        <w:t>ChurnPred</w:t>
      </w:r>
      <w:proofErr w:type="spellEnd"/>
      <w:r w:rsidR="00306F86">
        <w:rPr>
          <w:sz w:val="32"/>
          <w:u w:val="single"/>
        </w:rPr>
        <w:t xml:space="preserve"> – Customer Churn Predictor</w:t>
      </w:r>
      <w:r>
        <w:rPr>
          <w:spacing w:val="-2"/>
          <w:sz w:val="28"/>
          <w:u w:val="single"/>
        </w:rPr>
        <w:t>”</w:t>
      </w:r>
    </w:p>
    <w:p w14:paraId="513BDCBE" w14:textId="77777777" w:rsidR="00182C15" w:rsidRDefault="00182C15" w:rsidP="00C47E91">
      <w:pPr>
        <w:pStyle w:val="BodyText"/>
        <w:spacing w:before="2"/>
      </w:pPr>
    </w:p>
    <w:p w14:paraId="00904FF3" w14:textId="77777777" w:rsidR="00182C15" w:rsidRDefault="0023559E" w:rsidP="00C47E91">
      <w:pPr>
        <w:ind w:left="3249" w:right="957" w:hanging="1597"/>
        <w:rPr>
          <w:i/>
          <w:sz w:val="24"/>
        </w:rPr>
      </w:pPr>
      <w:r>
        <w:rPr>
          <w:i/>
          <w:sz w:val="24"/>
        </w:rPr>
        <w:t>submitted</w:t>
      </w:r>
      <w:r>
        <w:rPr>
          <w:i/>
          <w:spacing w:val="-11"/>
          <w:sz w:val="24"/>
        </w:rPr>
        <w:t xml:space="preserve"> </w:t>
      </w:r>
      <w:r>
        <w:rPr>
          <w:i/>
          <w:sz w:val="24"/>
        </w:rPr>
        <w:t>in</w:t>
      </w:r>
      <w:r>
        <w:rPr>
          <w:i/>
          <w:spacing w:val="-14"/>
          <w:sz w:val="24"/>
        </w:rPr>
        <w:t xml:space="preserve"> </w:t>
      </w:r>
      <w:r>
        <w:rPr>
          <w:i/>
          <w:sz w:val="24"/>
        </w:rPr>
        <w:t>partial</w:t>
      </w:r>
      <w:r>
        <w:rPr>
          <w:i/>
          <w:spacing w:val="-13"/>
          <w:sz w:val="24"/>
        </w:rPr>
        <w:t xml:space="preserve"> </w:t>
      </w:r>
      <w:r>
        <w:rPr>
          <w:i/>
          <w:sz w:val="24"/>
        </w:rPr>
        <w:t>fulfilment</w:t>
      </w:r>
      <w:r>
        <w:rPr>
          <w:i/>
          <w:spacing w:val="-12"/>
          <w:sz w:val="24"/>
        </w:rPr>
        <w:t xml:space="preserve"> </w:t>
      </w:r>
      <w:r>
        <w:rPr>
          <w:i/>
          <w:sz w:val="24"/>
        </w:rPr>
        <w:t>of</w:t>
      </w:r>
      <w:r>
        <w:rPr>
          <w:i/>
          <w:spacing w:val="-11"/>
          <w:sz w:val="24"/>
        </w:rPr>
        <w:t xml:space="preserve"> </w:t>
      </w:r>
      <w:r>
        <w:rPr>
          <w:i/>
          <w:sz w:val="24"/>
        </w:rPr>
        <w:t>the</w:t>
      </w:r>
      <w:r>
        <w:rPr>
          <w:i/>
          <w:spacing w:val="-12"/>
          <w:sz w:val="24"/>
        </w:rPr>
        <w:t xml:space="preserve"> </w:t>
      </w:r>
      <w:r>
        <w:rPr>
          <w:i/>
          <w:sz w:val="24"/>
        </w:rPr>
        <w:t>requirement</w:t>
      </w:r>
      <w:r>
        <w:rPr>
          <w:i/>
          <w:spacing w:val="-13"/>
          <w:sz w:val="24"/>
        </w:rPr>
        <w:t xml:space="preserve"> </w:t>
      </w:r>
      <w:r>
        <w:rPr>
          <w:i/>
          <w:sz w:val="24"/>
        </w:rPr>
        <w:t>for</w:t>
      </w:r>
      <w:r>
        <w:rPr>
          <w:i/>
          <w:spacing w:val="-6"/>
          <w:sz w:val="24"/>
        </w:rPr>
        <w:t xml:space="preserve"> </w:t>
      </w:r>
      <w:r>
        <w:rPr>
          <w:i/>
          <w:sz w:val="24"/>
        </w:rPr>
        <w:t>the award of the degree of</w:t>
      </w:r>
    </w:p>
    <w:p w14:paraId="3B57D879" w14:textId="77777777" w:rsidR="00182C15" w:rsidRDefault="00182C15" w:rsidP="00C47E91">
      <w:pPr>
        <w:pStyle w:val="BodyText"/>
        <w:spacing w:before="187"/>
        <w:rPr>
          <w:i/>
        </w:rPr>
      </w:pPr>
    </w:p>
    <w:p w14:paraId="34186077" w14:textId="77777777" w:rsidR="00182C15" w:rsidRDefault="0023559E" w:rsidP="00C47E91">
      <w:pPr>
        <w:pStyle w:val="Heading3"/>
        <w:ind w:left="425"/>
      </w:pPr>
      <w:r>
        <w:t>Bachelor</w:t>
      </w:r>
      <w:r>
        <w:rPr>
          <w:spacing w:val="-15"/>
        </w:rPr>
        <w:t xml:space="preserve"> </w:t>
      </w:r>
      <w:r>
        <w:t>of</w:t>
      </w:r>
      <w:r>
        <w:rPr>
          <w:spacing w:val="-15"/>
        </w:rPr>
        <w:t xml:space="preserve"> </w:t>
      </w:r>
      <w:r>
        <w:rPr>
          <w:spacing w:val="-2"/>
        </w:rPr>
        <w:t>Technology</w:t>
      </w:r>
    </w:p>
    <w:p w14:paraId="2639979D" w14:textId="77777777" w:rsidR="00182C15" w:rsidRDefault="0023559E" w:rsidP="00C47E91">
      <w:pPr>
        <w:spacing w:before="255"/>
        <w:ind w:left="423"/>
        <w:jc w:val="center"/>
        <w:rPr>
          <w:i/>
          <w:sz w:val="24"/>
        </w:rPr>
      </w:pPr>
      <w:r>
        <w:rPr>
          <w:i/>
          <w:spacing w:val="-5"/>
          <w:sz w:val="24"/>
        </w:rPr>
        <w:t>In</w:t>
      </w:r>
    </w:p>
    <w:p w14:paraId="0A7A2879" w14:textId="77777777" w:rsidR="00182C15" w:rsidRDefault="0023559E" w:rsidP="00C47E91">
      <w:pPr>
        <w:pStyle w:val="Heading3"/>
        <w:spacing w:before="254"/>
        <w:ind w:left="421"/>
      </w:pPr>
      <w:r>
        <w:t>Computer</w:t>
      </w:r>
      <w:r>
        <w:rPr>
          <w:spacing w:val="-20"/>
        </w:rPr>
        <w:t xml:space="preserve"> </w:t>
      </w:r>
      <w:r>
        <w:t>Science</w:t>
      </w:r>
      <w:r>
        <w:rPr>
          <w:spacing w:val="-20"/>
        </w:rPr>
        <w:t xml:space="preserve"> </w:t>
      </w:r>
      <w:r>
        <w:t>and</w:t>
      </w:r>
      <w:r>
        <w:rPr>
          <w:spacing w:val="-20"/>
        </w:rPr>
        <w:t xml:space="preserve"> </w:t>
      </w:r>
      <w:r>
        <w:rPr>
          <w:spacing w:val="-2"/>
        </w:rPr>
        <w:t>Engineering</w:t>
      </w:r>
    </w:p>
    <w:p w14:paraId="0B6F538C" w14:textId="77777777" w:rsidR="00182C15" w:rsidRDefault="00182C15" w:rsidP="00C47E91">
      <w:pPr>
        <w:pStyle w:val="BodyText"/>
        <w:spacing w:before="138"/>
        <w:rPr>
          <w:b/>
          <w:sz w:val="32"/>
        </w:rPr>
      </w:pPr>
    </w:p>
    <w:p w14:paraId="48E4CE11" w14:textId="77777777" w:rsidR="00182C15" w:rsidRDefault="0023559E" w:rsidP="00C47E91">
      <w:pPr>
        <w:ind w:left="425"/>
        <w:jc w:val="center"/>
        <w:rPr>
          <w:i/>
          <w:sz w:val="24"/>
        </w:rPr>
      </w:pPr>
      <w:r>
        <w:rPr>
          <w:i/>
          <w:spacing w:val="-5"/>
          <w:sz w:val="24"/>
        </w:rPr>
        <w:t>By</w:t>
      </w:r>
    </w:p>
    <w:p w14:paraId="0CC24276" w14:textId="7A16FB01" w:rsidR="00182C15" w:rsidRDefault="00306F86" w:rsidP="00C47E91">
      <w:pPr>
        <w:pStyle w:val="Heading3"/>
        <w:spacing w:before="273"/>
        <w:ind w:left="424"/>
      </w:pPr>
      <w:r>
        <w:rPr>
          <w:spacing w:val="-2"/>
        </w:rPr>
        <w:t>Arush Masih</w:t>
      </w:r>
    </w:p>
    <w:p w14:paraId="137C6C02" w14:textId="608016CE" w:rsidR="00182C15" w:rsidRDefault="0023559E" w:rsidP="00C47E91">
      <w:pPr>
        <w:pStyle w:val="BodyText"/>
        <w:ind w:left="422"/>
        <w:jc w:val="center"/>
      </w:pPr>
      <w:r>
        <w:rPr>
          <w:spacing w:val="-2"/>
        </w:rPr>
        <w:t>A5010522</w:t>
      </w:r>
      <w:r w:rsidR="00306F86">
        <w:rPr>
          <w:spacing w:val="-2"/>
        </w:rPr>
        <w:t>4021</w:t>
      </w:r>
    </w:p>
    <w:p w14:paraId="2748329D" w14:textId="77777777" w:rsidR="00182C15" w:rsidRDefault="00182C15" w:rsidP="00C47E91">
      <w:pPr>
        <w:pStyle w:val="BodyText"/>
      </w:pPr>
    </w:p>
    <w:p w14:paraId="17CA791E" w14:textId="77777777" w:rsidR="00182C15" w:rsidRDefault="00182C15" w:rsidP="00C47E91">
      <w:pPr>
        <w:pStyle w:val="BodyText"/>
        <w:spacing w:before="163"/>
      </w:pPr>
    </w:p>
    <w:p w14:paraId="4D9543B2" w14:textId="77777777" w:rsidR="00182C15" w:rsidRDefault="0023559E" w:rsidP="00C47E91">
      <w:pPr>
        <w:spacing w:before="1"/>
        <w:ind w:left="421"/>
        <w:jc w:val="center"/>
        <w:rPr>
          <w:i/>
          <w:sz w:val="24"/>
        </w:rPr>
      </w:pPr>
      <w:r>
        <w:rPr>
          <w:i/>
          <w:sz w:val="24"/>
        </w:rPr>
        <w:t>Under</w:t>
      </w:r>
      <w:r>
        <w:rPr>
          <w:i/>
          <w:spacing w:val="-4"/>
          <w:sz w:val="24"/>
        </w:rPr>
        <w:t xml:space="preserve"> </w:t>
      </w:r>
      <w:r>
        <w:rPr>
          <w:i/>
          <w:sz w:val="24"/>
        </w:rPr>
        <w:t>the</w:t>
      </w:r>
      <w:r>
        <w:rPr>
          <w:i/>
          <w:spacing w:val="-2"/>
          <w:sz w:val="24"/>
        </w:rPr>
        <w:t xml:space="preserve"> </w:t>
      </w:r>
      <w:r>
        <w:rPr>
          <w:i/>
          <w:sz w:val="24"/>
        </w:rPr>
        <w:t>guidance</w:t>
      </w:r>
      <w:r>
        <w:rPr>
          <w:i/>
          <w:spacing w:val="-4"/>
          <w:sz w:val="24"/>
        </w:rPr>
        <w:t xml:space="preserve"> </w:t>
      </w:r>
      <w:r>
        <w:rPr>
          <w:i/>
          <w:spacing w:val="-5"/>
          <w:sz w:val="24"/>
        </w:rPr>
        <w:t>of</w:t>
      </w:r>
    </w:p>
    <w:p w14:paraId="7252EEA9" w14:textId="4BF336D1" w:rsidR="00182C15" w:rsidRDefault="0023559E" w:rsidP="00C47E91">
      <w:pPr>
        <w:pStyle w:val="Heading3"/>
        <w:spacing w:before="158"/>
        <w:ind w:left="424"/>
      </w:pPr>
      <w:r>
        <w:rPr>
          <w:spacing w:val="-2"/>
        </w:rPr>
        <w:t>Dr.</w:t>
      </w:r>
      <w:r>
        <w:rPr>
          <w:spacing w:val="-18"/>
        </w:rPr>
        <w:t xml:space="preserve"> </w:t>
      </w:r>
      <w:r w:rsidR="00306F86">
        <w:rPr>
          <w:spacing w:val="-2"/>
        </w:rPr>
        <w:t>Sunil Sikka</w:t>
      </w:r>
    </w:p>
    <w:p w14:paraId="729AB1EB" w14:textId="77777777" w:rsidR="00182C15" w:rsidRDefault="0023559E" w:rsidP="00C47E91">
      <w:pPr>
        <w:spacing w:before="162"/>
        <w:ind w:left="423"/>
        <w:jc w:val="center"/>
      </w:pPr>
      <w:r>
        <w:rPr>
          <w:spacing w:val="-2"/>
        </w:rPr>
        <w:t>Professor</w:t>
      </w:r>
    </w:p>
    <w:p w14:paraId="33A86D32" w14:textId="77777777" w:rsidR="00182C15" w:rsidRDefault="00182C15" w:rsidP="00C47E91">
      <w:pPr>
        <w:pStyle w:val="BodyText"/>
        <w:rPr>
          <w:sz w:val="20"/>
        </w:rPr>
      </w:pPr>
    </w:p>
    <w:p w14:paraId="5F71F57F" w14:textId="77777777" w:rsidR="00182C15" w:rsidRDefault="0023559E" w:rsidP="00C47E91">
      <w:pPr>
        <w:pStyle w:val="BodyText"/>
        <w:spacing w:before="59"/>
        <w:rPr>
          <w:sz w:val="20"/>
        </w:rPr>
      </w:pPr>
      <w:r>
        <w:rPr>
          <w:noProof/>
          <w:sz w:val="20"/>
        </w:rPr>
        <w:drawing>
          <wp:anchor distT="0" distB="0" distL="0" distR="0" simplePos="0" relativeHeight="251645440" behindDoc="1" locked="0" layoutInCell="1" allowOverlap="1" wp14:anchorId="3DEE4D20" wp14:editId="5DF7F4C5">
            <wp:simplePos x="0" y="0"/>
            <wp:positionH relativeFrom="page">
              <wp:posOffset>3438525</wp:posOffset>
            </wp:positionH>
            <wp:positionV relativeFrom="paragraph">
              <wp:posOffset>198755</wp:posOffset>
            </wp:positionV>
            <wp:extent cx="972352" cy="11292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72352" cy="1129284"/>
                    </a:xfrm>
                    <a:prstGeom prst="rect">
                      <a:avLst/>
                    </a:prstGeom>
                  </pic:spPr>
                </pic:pic>
              </a:graphicData>
            </a:graphic>
          </wp:anchor>
        </w:drawing>
      </w:r>
    </w:p>
    <w:p w14:paraId="31E3FD47" w14:textId="77777777" w:rsidR="00182C15" w:rsidRDefault="00182C15" w:rsidP="00C47E91">
      <w:pPr>
        <w:pStyle w:val="BodyText"/>
        <w:rPr>
          <w:sz w:val="22"/>
        </w:rPr>
      </w:pPr>
    </w:p>
    <w:p w14:paraId="1278551A" w14:textId="77777777" w:rsidR="00182C15" w:rsidRDefault="00182C15" w:rsidP="00C47E91">
      <w:pPr>
        <w:pStyle w:val="BodyText"/>
        <w:rPr>
          <w:sz w:val="22"/>
        </w:rPr>
      </w:pPr>
    </w:p>
    <w:p w14:paraId="2D6584CA" w14:textId="77777777" w:rsidR="00182C15" w:rsidRDefault="00182C15" w:rsidP="00C47E91">
      <w:pPr>
        <w:pStyle w:val="BodyText"/>
        <w:spacing w:before="143"/>
        <w:rPr>
          <w:sz w:val="22"/>
        </w:rPr>
      </w:pPr>
    </w:p>
    <w:p w14:paraId="2AA3F1A8" w14:textId="77777777" w:rsidR="00182C15" w:rsidRDefault="0023559E" w:rsidP="00C47E91">
      <w:pPr>
        <w:pStyle w:val="BodyText"/>
        <w:ind w:left="2186" w:right="1287" w:hanging="180"/>
      </w:pP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&amp;</w:t>
      </w:r>
      <w:r>
        <w:rPr>
          <w:spacing w:val="-15"/>
        </w:rPr>
        <w:t xml:space="preserve"> </w:t>
      </w:r>
      <w:r>
        <w:t>Engineering Amity School of Engineering &amp; Technology</w:t>
      </w:r>
    </w:p>
    <w:p w14:paraId="6C266A9C" w14:textId="0835089B" w:rsidR="00182C15" w:rsidRDefault="0023559E" w:rsidP="00C47E91">
      <w:pPr>
        <w:pStyle w:val="BodyText"/>
        <w:ind w:left="3540" w:right="2001" w:hanging="567"/>
        <w:sectPr w:rsidR="00182C15">
          <w:type w:val="continuous"/>
          <w:pgSz w:w="11910" w:h="16840"/>
          <w:pgMar w:top="1440" w:right="170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Amity</w:t>
      </w:r>
      <w:r>
        <w:rPr>
          <w:spacing w:val="-15"/>
        </w:rPr>
        <w:t xml:space="preserve"> </w:t>
      </w:r>
      <w:r>
        <w:t>University</w:t>
      </w:r>
      <w:r>
        <w:rPr>
          <w:spacing w:val="-15"/>
        </w:rPr>
        <w:t xml:space="preserve"> </w:t>
      </w:r>
      <w:r>
        <w:t>Haryana September 202</w:t>
      </w:r>
      <w:r w:rsidR="00306F86">
        <w:t>6</w:t>
      </w:r>
    </w:p>
    <w:p w14:paraId="18D4C8F4" w14:textId="77777777" w:rsidR="00182C15" w:rsidRDefault="0023559E" w:rsidP="00C47E91">
      <w:pPr>
        <w:pStyle w:val="Heading1"/>
        <w:ind w:left="679"/>
      </w:pPr>
      <w:r>
        <w:rPr>
          <w:noProof/>
        </w:rPr>
        <w:lastRenderedPageBreak/>
        <w:drawing>
          <wp:anchor distT="0" distB="0" distL="0" distR="0" simplePos="0" relativeHeight="251637248" behindDoc="0" locked="0" layoutInCell="1" allowOverlap="1" wp14:anchorId="12FB95C2" wp14:editId="58ACDDCF">
            <wp:simplePos x="0" y="0"/>
            <wp:positionH relativeFrom="page">
              <wp:posOffset>789305</wp:posOffset>
            </wp:positionH>
            <wp:positionV relativeFrom="paragraph">
              <wp:posOffset>102996</wp:posOffset>
            </wp:positionV>
            <wp:extent cx="709917" cy="690245"/>
            <wp:effectExtent l="0" t="0" r="0" b="0"/>
            <wp:wrapNone/>
            <wp:docPr id="3" name="Image 3"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university  AI-generated content may be incorrect."/>
                    <pic:cNvPicPr/>
                  </pic:nvPicPr>
                  <pic:blipFill>
                    <a:blip r:embed="rId9" cstate="print"/>
                    <a:stretch>
                      <a:fillRect/>
                    </a:stretch>
                  </pic:blipFill>
                  <pic:spPr>
                    <a:xfrm>
                      <a:off x="0" y="0"/>
                      <a:ext cx="709917" cy="690245"/>
                    </a:xfrm>
                    <a:prstGeom prst="rect">
                      <a:avLst/>
                    </a:prstGeom>
                  </pic:spPr>
                </pic:pic>
              </a:graphicData>
            </a:graphic>
          </wp:anchor>
        </w:drawing>
      </w:r>
      <w:r>
        <w:t>Department</w:t>
      </w:r>
      <w:r>
        <w:rPr>
          <w:spacing w:val="-12"/>
        </w:rPr>
        <w:t xml:space="preserve"> </w:t>
      </w:r>
      <w:r>
        <w:t>of</w:t>
      </w:r>
      <w:r>
        <w:rPr>
          <w:spacing w:val="-9"/>
        </w:rPr>
        <w:t xml:space="preserve"> </w:t>
      </w:r>
      <w:r>
        <w:t>Computer</w:t>
      </w:r>
      <w:r>
        <w:rPr>
          <w:spacing w:val="-5"/>
        </w:rPr>
        <w:t xml:space="preserve"> </w:t>
      </w:r>
      <w:r>
        <w:t>Science</w:t>
      </w:r>
      <w:r>
        <w:rPr>
          <w:spacing w:val="-8"/>
        </w:rPr>
        <w:t xml:space="preserve"> </w:t>
      </w:r>
      <w:r>
        <w:t>and</w:t>
      </w:r>
      <w:r>
        <w:rPr>
          <w:spacing w:val="-4"/>
        </w:rPr>
        <w:t xml:space="preserve"> </w:t>
      </w:r>
      <w:r>
        <w:rPr>
          <w:spacing w:val="-2"/>
        </w:rPr>
        <w:t>Engineering</w:t>
      </w:r>
    </w:p>
    <w:p w14:paraId="362DE9DF" w14:textId="77777777" w:rsidR="00182C15" w:rsidRDefault="0023559E" w:rsidP="00C47E91">
      <w:pPr>
        <w:spacing w:before="259"/>
        <w:ind w:left="679" w:right="285"/>
        <w:jc w:val="center"/>
        <w:rPr>
          <w:sz w:val="32"/>
        </w:rPr>
      </w:pPr>
      <w:r>
        <w:rPr>
          <w:sz w:val="32"/>
        </w:rPr>
        <w:t>Amity</w:t>
      </w:r>
      <w:r>
        <w:rPr>
          <w:spacing w:val="-16"/>
          <w:sz w:val="32"/>
        </w:rPr>
        <w:t xml:space="preserve"> </w:t>
      </w:r>
      <w:r>
        <w:rPr>
          <w:sz w:val="32"/>
        </w:rPr>
        <w:t>School</w:t>
      </w:r>
      <w:r>
        <w:rPr>
          <w:spacing w:val="-18"/>
          <w:sz w:val="32"/>
        </w:rPr>
        <w:t xml:space="preserve"> </w:t>
      </w:r>
      <w:r>
        <w:rPr>
          <w:sz w:val="32"/>
        </w:rPr>
        <w:t>of</w:t>
      </w:r>
      <w:r>
        <w:rPr>
          <w:spacing w:val="-16"/>
          <w:sz w:val="32"/>
        </w:rPr>
        <w:t xml:space="preserve"> </w:t>
      </w:r>
      <w:r>
        <w:rPr>
          <w:sz w:val="32"/>
        </w:rPr>
        <w:t>Engineering</w:t>
      </w:r>
      <w:r>
        <w:rPr>
          <w:spacing w:val="-14"/>
          <w:sz w:val="32"/>
        </w:rPr>
        <w:t xml:space="preserve"> </w:t>
      </w:r>
      <w:r>
        <w:rPr>
          <w:sz w:val="32"/>
        </w:rPr>
        <w:t>and</w:t>
      </w:r>
      <w:r>
        <w:rPr>
          <w:spacing w:val="-19"/>
          <w:sz w:val="32"/>
        </w:rPr>
        <w:t xml:space="preserve"> </w:t>
      </w:r>
      <w:r>
        <w:rPr>
          <w:spacing w:val="-2"/>
          <w:sz w:val="32"/>
        </w:rPr>
        <w:t>Technology</w:t>
      </w:r>
    </w:p>
    <w:p w14:paraId="1A71D074" w14:textId="77777777" w:rsidR="00182C15" w:rsidRDefault="00182C15" w:rsidP="00C47E91">
      <w:pPr>
        <w:pStyle w:val="BodyText"/>
        <w:rPr>
          <w:sz w:val="32"/>
        </w:rPr>
      </w:pPr>
    </w:p>
    <w:p w14:paraId="1B56ADB6" w14:textId="77777777" w:rsidR="00182C15" w:rsidRDefault="00182C15" w:rsidP="00C47E91">
      <w:pPr>
        <w:pStyle w:val="BodyText"/>
        <w:rPr>
          <w:sz w:val="32"/>
        </w:rPr>
      </w:pPr>
    </w:p>
    <w:p w14:paraId="6752E21A" w14:textId="77777777" w:rsidR="00182C15" w:rsidRDefault="00182C15" w:rsidP="00C47E91">
      <w:pPr>
        <w:pStyle w:val="BodyText"/>
        <w:rPr>
          <w:sz w:val="32"/>
        </w:rPr>
      </w:pPr>
    </w:p>
    <w:p w14:paraId="71B8E81E" w14:textId="77777777" w:rsidR="00182C15" w:rsidRDefault="00182C15" w:rsidP="00C47E91">
      <w:pPr>
        <w:pStyle w:val="BodyText"/>
        <w:spacing w:before="46"/>
        <w:rPr>
          <w:sz w:val="32"/>
        </w:rPr>
      </w:pPr>
    </w:p>
    <w:p w14:paraId="5DADBD95" w14:textId="77777777" w:rsidR="00182C15" w:rsidRDefault="0023559E" w:rsidP="00C47E91">
      <w:pPr>
        <w:pStyle w:val="Heading3"/>
        <w:ind w:right="678"/>
      </w:pPr>
      <w:r>
        <w:rPr>
          <w:spacing w:val="-2"/>
        </w:rPr>
        <w:t>Declaration</w:t>
      </w:r>
    </w:p>
    <w:p w14:paraId="6D4EF28A" w14:textId="77777777" w:rsidR="00182C15" w:rsidRDefault="00182C15" w:rsidP="00C47E91">
      <w:pPr>
        <w:pStyle w:val="BodyText"/>
        <w:rPr>
          <w:b/>
        </w:rPr>
      </w:pPr>
    </w:p>
    <w:p w14:paraId="08BB8A2D" w14:textId="77777777" w:rsidR="00182C15" w:rsidRDefault="00182C15" w:rsidP="00C47E91">
      <w:pPr>
        <w:pStyle w:val="BodyText"/>
        <w:spacing w:before="132"/>
        <w:rPr>
          <w:b/>
        </w:rPr>
      </w:pPr>
    </w:p>
    <w:p w14:paraId="1DB0A582" w14:textId="7B8C09A5" w:rsidR="00182C15" w:rsidRDefault="0023559E" w:rsidP="00C47E91">
      <w:pPr>
        <w:pStyle w:val="BodyText"/>
        <w:spacing w:before="1"/>
        <w:ind w:left="732" w:right="1005" w:firstLine="717"/>
        <w:jc w:val="both"/>
      </w:pPr>
      <w:r>
        <w:t xml:space="preserve">I, </w:t>
      </w:r>
      <w:r w:rsidR="00306F86">
        <w:rPr>
          <w:b/>
        </w:rPr>
        <w:t>Arush Masih</w:t>
      </w:r>
      <w:r>
        <w:rPr>
          <w:b/>
        </w:rPr>
        <w:t>, A50105</w:t>
      </w:r>
      <w:r w:rsidR="00306F86">
        <w:rPr>
          <w:b/>
        </w:rPr>
        <w:t>224021</w:t>
      </w:r>
      <w:r>
        <w:t>, student of Bachelor of Technology</w:t>
      </w:r>
      <w:r>
        <w:rPr>
          <w:spacing w:val="40"/>
        </w:rPr>
        <w:t xml:space="preserve"> </w:t>
      </w:r>
      <w:r>
        <w:t xml:space="preserve">in Department of Computer Science and Engineering, Amity School of Engineering and Technology, Amity University Haryana, hereby declare that I am fully responsible for the information and results provided in this summer internship project report titled </w:t>
      </w:r>
      <w:r>
        <w:rPr>
          <w:b/>
        </w:rPr>
        <w:t>“</w:t>
      </w:r>
      <w:proofErr w:type="spellStart"/>
      <w:r w:rsidR="00306F86">
        <w:rPr>
          <w:b/>
        </w:rPr>
        <w:t>ChurnPred</w:t>
      </w:r>
      <w:proofErr w:type="spellEnd"/>
      <w:r>
        <w:rPr>
          <w:b/>
        </w:rPr>
        <w:t>”</w:t>
      </w:r>
      <w:r>
        <w:rPr>
          <w:b/>
          <w:spacing w:val="40"/>
        </w:rPr>
        <w:t xml:space="preserve"> </w:t>
      </w:r>
      <w:r>
        <w:t xml:space="preserve">submitted to the Department of Computer Science and Engineering, Amity School of Engineering and Technology, Amity University Haryana, Gurgaon for the partial fulfilment of the requirement for the award of the degree of </w:t>
      </w:r>
      <w:r>
        <w:rPr>
          <w:b/>
        </w:rPr>
        <w:t>Bachelor of Technology in Computer</w:t>
      </w:r>
      <w:r>
        <w:rPr>
          <w:b/>
          <w:spacing w:val="-15"/>
        </w:rPr>
        <w:t xml:space="preserve"> </w:t>
      </w:r>
      <w:r>
        <w:rPr>
          <w:b/>
        </w:rPr>
        <w:t>Science</w:t>
      </w:r>
      <w:r>
        <w:rPr>
          <w:b/>
          <w:spacing w:val="-15"/>
        </w:rPr>
        <w:t xml:space="preserve"> </w:t>
      </w:r>
      <w:r>
        <w:rPr>
          <w:b/>
        </w:rPr>
        <w:t>and</w:t>
      </w:r>
      <w:r>
        <w:rPr>
          <w:b/>
          <w:spacing w:val="-15"/>
        </w:rPr>
        <w:t xml:space="preserve"> </w:t>
      </w:r>
      <w:r>
        <w:rPr>
          <w:b/>
        </w:rPr>
        <w:t>Engineering</w:t>
      </w:r>
      <w:r>
        <w:t>.</w:t>
      </w:r>
      <w:r>
        <w:rPr>
          <w:spacing w:val="-15"/>
        </w:rPr>
        <w:t xml:space="preserve"> </w:t>
      </w:r>
      <w:r>
        <w:t>I</w:t>
      </w:r>
      <w:r>
        <w:rPr>
          <w:spacing w:val="-15"/>
        </w:rPr>
        <w:t xml:space="preserve"> </w:t>
      </w:r>
      <w:r>
        <w:t>have</w:t>
      </w:r>
      <w:r>
        <w:rPr>
          <w:spacing w:val="-15"/>
        </w:rPr>
        <w:t xml:space="preserve"> </w:t>
      </w:r>
      <w:r>
        <w:t>taken</w:t>
      </w:r>
      <w:r>
        <w:rPr>
          <w:spacing w:val="-15"/>
        </w:rPr>
        <w:t xml:space="preserve"> </w:t>
      </w:r>
      <w:r>
        <w:t>care</w:t>
      </w:r>
      <w:r>
        <w:rPr>
          <w:spacing w:val="-15"/>
        </w:rPr>
        <w:t xml:space="preserve"> </w:t>
      </w:r>
      <w:r>
        <w:t>in</w:t>
      </w:r>
      <w:r>
        <w:rPr>
          <w:spacing w:val="-15"/>
        </w:rPr>
        <w:t xml:space="preserve"> </w:t>
      </w:r>
      <w:r>
        <w:t>all</w:t>
      </w:r>
      <w:r>
        <w:rPr>
          <w:spacing w:val="-15"/>
        </w:rPr>
        <w:t xml:space="preserve"> </w:t>
      </w:r>
      <w:r>
        <w:t>respects</w:t>
      </w:r>
      <w:r>
        <w:rPr>
          <w:spacing w:val="-15"/>
        </w:rPr>
        <w:t xml:space="preserve"> </w:t>
      </w:r>
      <w:r>
        <w:t>to</w:t>
      </w:r>
      <w:r>
        <w:rPr>
          <w:spacing w:val="-15"/>
        </w:rPr>
        <w:t xml:space="preserve"> </w:t>
      </w:r>
      <w:proofErr w:type="spellStart"/>
      <w:r>
        <w:t>honour</w:t>
      </w:r>
      <w:proofErr w:type="spellEnd"/>
      <w:r>
        <w:rPr>
          <w:spacing w:val="-15"/>
        </w:rPr>
        <w:t xml:space="preserve"> </w:t>
      </w:r>
      <w:r>
        <w:t>the</w:t>
      </w:r>
      <w:r>
        <w:rPr>
          <w:spacing w:val="-15"/>
        </w:rPr>
        <w:t xml:space="preserve"> </w:t>
      </w:r>
      <w:r>
        <w:t>intellectual property rights and have acknowledged the contributions of others for using them. I further declare</w:t>
      </w:r>
      <w:r>
        <w:rPr>
          <w:spacing w:val="-15"/>
        </w:rPr>
        <w:t xml:space="preserve"> </w:t>
      </w:r>
      <w:r>
        <w:t>that</w:t>
      </w:r>
      <w:r>
        <w:rPr>
          <w:spacing w:val="-15"/>
        </w:rPr>
        <w:t xml:space="preserve"> </w:t>
      </w:r>
      <w:r>
        <w:t>in</w:t>
      </w:r>
      <w:r>
        <w:rPr>
          <w:spacing w:val="-11"/>
        </w:rPr>
        <w:t xml:space="preserve"> </w:t>
      </w:r>
      <w:r>
        <w:t>case</w:t>
      </w:r>
      <w:r>
        <w:rPr>
          <w:spacing w:val="-13"/>
        </w:rPr>
        <w:t xml:space="preserve"> </w:t>
      </w:r>
      <w:r>
        <w:t>of</w:t>
      </w:r>
      <w:r>
        <w:rPr>
          <w:spacing w:val="-13"/>
        </w:rPr>
        <w:t xml:space="preserve"> </w:t>
      </w:r>
      <w:r>
        <w:t>any</w:t>
      </w:r>
      <w:r>
        <w:rPr>
          <w:spacing w:val="-10"/>
        </w:rPr>
        <w:t xml:space="preserve"> </w:t>
      </w:r>
      <w:r>
        <w:t>violation</w:t>
      </w:r>
      <w:r>
        <w:rPr>
          <w:spacing w:val="-14"/>
        </w:rPr>
        <w:t xml:space="preserve"> </w:t>
      </w:r>
      <w:r>
        <w:t>of</w:t>
      </w:r>
      <w:r>
        <w:rPr>
          <w:spacing w:val="-15"/>
        </w:rPr>
        <w:t xml:space="preserve"> </w:t>
      </w:r>
      <w:r>
        <w:t>intellectual</w:t>
      </w:r>
      <w:r>
        <w:rPr>
          <w:spacing w:val="-14"/>
        </w:rPr>
        <w:t xml:space="preserve"> </w:t>
      </w:r>
      <w:r>
        <w:t>property</w:t>
      </w:r>
      <w:r>
        <w:rPr>
          <w:spacing w:val="-12"/>
        </w:rPr>
        <w:t xml:space="preserve"> </w:t>
      </w:r>
      <w:r>
        <w:t>rights</w:t>
      </w:r>
      <w:r>
        <w:rPr>
          <w:spacing w:val="-14"/>
        </w:rPr>
        <w:t xml:space="preserve"> </w:t>
      </w:r>
      <w:r>
        <w:t>or</w:t>
      </w:r>
      <w:r>
        <w:rPr>
          <w:spacing w:val="-15"/>
        </w:rPr>
        <w:t xml:space="preserve"> </w:t>
      </w:r>
      <w:r>
        <w:t>copyrights,</w:t>
      </w:r>
      <w:r>
        <w:rPr>
          <w:spacing w:val="-13"/>
        </w:rPr>
        <w:t xml:space="preserve"> </w:t>
      </w:r>
      <w:r>
        <w:t>I</w:t>
      </w:r>
      <w:r>
        <w:rPr>
          <w:spacing w:val="-15"/>
        </w:rPr>
        <w:t xml:space="preserve"> </w:t>
      </w:r>
      <w:r>
        <w:t>as</w:t>
      </w:r>
      <w:r>
        <w:rPr>
          <w:spacing w:val="-12"/>
        </w:rPr>
        <w:t xml:space="preserve"> </w:t>
      </w:r>
      <w:r>
        <w:t>a</w:t>
      </w:r>
      <w:r>
        <w:rPr>
          <w:spacing w:val="-15"/>
        </w:rPr>
        <w:t xml:space="preserve"> </w:t>
      </w:r>
      <w:r>
        <w:t>candidate will be fully responsible for the same. My supervisor, Head of department and the Institute should</w:t>
      </w:r>
      <w:r>
        <w:rPr>
          <w:spacing w:val="-6"/>
        </w:rPr>
        <w:t xml:space="preserve"> </w:t>
      </w:r>
      <w:r>
        <w:t>not</w:t>
      </w:r>
      <w:r>
        <w:rPr>
          <w:spacing w:val="-2"/>
        </w:rPr>
        <w:t xml:space="preserve"> </w:t>
      </w:r>
      <w:r>
        <w:t>be</w:t>
      </w:r>
      <w:r>
        <w:rPr>
          <w:spacing w:val="-5"/>
        </w:rPr>
        <w:t xml:space="preserve"> </w:t>
      </w:r>
      <w:r>
        <w:t>held</w:t>
      </w:r>
      <w:r>
        <w:rPr>
          <w:spacing w:val="-2"/>
        </w:rPr>
        <w:t xml:space="preserve"> </w:t>
      </w:r>
      <w:r>
        <w:t>for</w:t>
      </w:r>
      <w:r>
        <w:rPr>
          <w:spacing w:val="-4"/>
        </w:rPr>
        <w:t xml:space="preserve"> </w:t>
      </w:r>
      <w:r>
        <w:t>full</w:t>
      </w:r>
      <w:r>
        <w:rPr>
          <w:spacing w:val="-4"/>
        </w:rPr>
        <w:t xml:space="preserve"> </w:t>
      </w:r>
      <w:r>
        <w:t>or</w:t>
      </w:r>
      <w:r>
        <w:rPr>
          <w:spacing w:val="-4"/>
        </w:rPr>
        <w:t xml:space="preserve"> </w:t>
      </w:r>
      <w:r>
        <w:t>partial</w:t>
      </w:r>
      <w:r>
        <w:rPr>
          <w:spacing w:val="-3"/>
        </w:rPr>
        <w:t xml:space="preserve"> </w:t>
      </w:r>
      <w:r>
        <w:t>violation</w:t>
      </w:r>
      <w:r>
        <w:rPr>
          <w:spacing w:val="-3"/>
        </w:rPr>
        <w:t xml:space="preserve"> </w:t>
      </w:r>
      <w:r>
        <w:t>of</w:t>
      </w:r>
      <w:r>
        <w:rPr>
          <w:spacing w:val="-4"/>
        </w:rPr>
        <w:t xml:space="preserve"> </w:t>
      </w:r>
      <w:r>
        <w:t>copyrights</w:t>
      </w:r>
      <w:r>
        <w:rPr>
          <w:spacing w:val="-3"/>
        </w:rPr>
        <w:t xml:space="preserve"> </w:t>
      </w:r>
      <w:r>
        <w:t>if</w:t>
      </w:r>
      <w:r>
        <w:rPr>
          <w:spacing w:val="-3"/>
        </w:rPr>
        <w:t xml:space="preserve"> </w:t>
      </w:r>
      <w:r>
        <w:t>found</w:t>
      </w:r>
      <w:r>
        <w:rPr>
          <w:spacing w:val="-5"/>
        </w:rPr>
        <w:t xml:space="preserve"> </w:t>
      </w:r>
      <w:r>
        <w:t>at</w:t>
      </w:r>
      <w:r>
        <w:rPr>
          <w:spacing w:val="-2"/>
        </w:rPr>
        <w:t xml:space="preserve"> </w:t>
      </w:r>
      <w:r>
        <w:t>any</w:t>
      </w:r>
      <w:r>
        <w:rPr>
          <w:spacing w:val="-3"/>
        </w:rPr>
        <w:t xml:space="preserve"> </w:t>
      </w:r>
      <w:r>
        <w:t>stage</w:t>
      </w:r>
      <w:r>
        <w:rPr>
          <w:spacing w:val="-5"/>
        </w:rPr>
        <w:t xml:space="preserve"> </w:t>
      </w:r>
      <w:r>
        <w:t>of</w:t>
      </w:r>
      <w:r>
        <w:rPr>
          <w:spacing w:val="-4"/>
        </w:rPr>
        <w:t xml:space="preserve"> </w:t>
      </w:r>
      <w:r>
        <w:t>my</w:t>
      </w:r>
      <w:r>
        <w:rPr>
          <w:spacing w:val="-2"/>
        </w:rPr>
        <w:t xml:space="preserve"> degree.</w:t>
      </w:r>
    </w:p>
    <w:p w14:paraId="1CCA38CE" w14:textId="77777777" w:rsidR="00182C15" w:rsidRDefault="00182C15" w:rsidP="00C47E91">
      <w:pPr>
        <w:pStyle w:val="BodyText"/>
      </w:pPr>
    </w:p>
    <w:p w14:paraId="14F202BE" w14:textId="77777777" w:rsidR="00182C15" w:rsidRDefault="00182C15" w:rsidP="00C47E91">
      <w:pPr>
        <w:pStyle w:val="BodyText"/>
      </w:pPr>
    </w:p>
    <w:p w14:paraId="235FE694" w14:textId="77777777" w:rsidR="00182C15" w:rsidRDefault="00182C15" w:rsidP="00C47E91">
      <w:pPr>
        <w:pStyle w:val="BodyText"/>
        <w:spacing w:before="248"/>
      </w:pPr>
    </w:p>
    <w:p w14:paraId="311D6E0B" w14:textId="77777777" w:rsidR="00182C15" w:rsidRDefault="0023559E" w:rsidP="00C47E91">
      <w:pPr>
        <w:ind w:right="844"/>
        <w:jc w:val="right"/>
        <w:rPr>
          <w:i/>
          <w:sz w:val="24"/>
        </w:rPr>
      </w:pPr>
      <w:r>
        <w:rPr>
          <w:i/>
          <w:spacing w:val="-2"/>
          <w:sz w:val="24"/>
        </w:rPr>
        <w:t>Signature(s)</w:t>
      </w:r>
    </w:p>
    <w:p w14:paraId="51137144" w14:textId="77777777" w:rsidR="00182C15" w:rsidRDefault="00182C15" w:rsidP="00C47E91">
      <w:pPr>
        <w:pStyle w:val="BodyText"/>
        <w:rPr>
          <w:i/>
        </w:rPr>
      </w:pPr>
    </w:p>
    <w:p w14:paraId="71ED0C4D" w14:textId="1119FFA3" w:rsidR="00182C15" w:rsidRDefault="00306F86" w:rsidP="00C47E91">
      <w:pPr>
        <w:ind w:left="8459" w:right="847" w:hanging="346"/>
        <w:jc w:val="right"/>
        <w:rPr>
          <w:b/>
          <w:sz w:val="24"/>
        </w:rPr>
      </w:pPr>
      <w:r>
        <w:rPr>
          <w:b/>
          <w:spacing w:val="-2"/>
          <w:sz w:val="24"/>
        </w:rPr>
        <w:t>Arush Masih A50105224021</w:t>
      </w:r>
    </w:p>
    <w:p w14:paraId="2DFDD491" w14:textId="77777777" w:rsidR="00182C15" w:rsidRDefault="00182C15" w:rsidP="00C47E91">
      <w:pPr>
        <w:jc w:val="right"/>
        <w:rPr>
          <w:b/>
          <w:sz w:val="24"/>
        </w:rPr>
        <w:sectPr w:rsidR="00182C15">
          <w:footerReference w:type="default" r:id="rId10"/>
          <w:pgSz w:w="11920" w:h="16850"/>
          <w:pgMar w:top="184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DD09C68" w14:textId="77777777" w:rsidR="00182C15" w:rsidRDefault="0023559E" w:rsidP="00C47E91">
      <w:pPr>
        <w:pStyle w:val="Heading1"/>
        <w:spacing w:before="239"/>
        <w:ind w:right="384"/>
      </w:pPr>
      <w:r>
        <w:rPr>
          <w:noProof/>
        </w:rPr>
        <w:lastRenderedPageBreak/>
        <w:drawing>
          <wp:anchor distT="0" distB="0" distL="0" distR="0" simplePos="0" relativeHeight="251638272" behindDoc="0" locked="0" layoutInCell="1" allowOverlap="1" wp14:anchorId="7AC64016" wp14:editId="22958FCB">
            <wp:simplePos x="0" y="0"/>
            <wp:positionH relativeFrom="page">
              <wp:posOffset>583565</wp:posOffset>
            </wp:positionH>
            <wp:positionV relativeFrom="paragraph">
              <wp:posOffset>-507</wp:posOffset>
            </wp:positionV>
            <wp:extent cx="709917" cy="690245"/>
            <wp:effectExtent l="0" t="0" r="0" b="0"/>
            <wp:wrapNone/>
            <wp:docPr id="4" name="Image 4"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university  AI-generated content may be incorrect."/>
                    <pic:cNvPicPr/>
                  </pic:nvPicPr>
                  <pic:blipFill>
                    <a:blip r:embed="rId9" cstate="print"/>
                    <a:stretch>
                      <a:fillRect/>
                    </a:stretch>
                  </pic:blipFill>
                  <pic:spPr>
                    <a:xfrm>
                      <a:off x="0" y="0"/>
                      <a:ext cx="709917" cy="690245"/>
                    </a:xfrm>
                    <a:prstGeom prst="rect">
                      <a:avLst/>
                    </a:prstGeom>
                  </pic:spPr>
                </pic:pic>
              </a:graphicData>
            </a:graphic>
          </wp:anchor>
        </w:drawing>
      </w:r>
      <w:r>
        <w:t>Department</w:t>
      </w:r>
      <w:r>
        <w:rPr>
          <w:spacing w:val="-12"/>
        </w:rPr>
        <w:t xml:space="preserve"> </w:t>
      </w:r>
      <w:r>
        <w:t>of</w:t>
      </w:r>
      <w:r>
        <w:rPr>
          <w:spacing w:val="-9"/>
        </w:rPr>
        <w:t xml:space="preserve"> </w:t>
      </w:r>
      <w:r>
        <w:t>Computer</w:t>
      </w:r>
      <w:r>
        <w:rPr>
          <w:spacing w:val="-12"/>
        </w:rPr>
        <w:t xml:space="preserve"> </w:t>
      </w:r>
      <w:r>
        <w:t>Science</w:t>
      </w:r>
      <w:r>
        <w:rPr>
          <w:spacing w:val="-8"/>
        </w:rPr>
        <w:t xml:space="preserve"> </w:t>
      </w:r>
      <w:r>
        <w:t>and</w:t>
      </w:r>
      <w:r>
        <w:rPr>
          <w:spacing w:val="-7"/>
        </w:rPr>
        <w:t xml:space="preserve"> </w:t>
      </w:r>
      <w:r>
        <w:rPr>
          <w:spacing w:val="-2"/>
        </w:rPr>
        <w:t>Engineering</w:t>
      </w:r>
    </w:p>
    <w:p w14:paraId="470D4AE6" w14:textId="77777777" w:rsidR="00182C15" w:rsidRDefault="0023559E" w:rsidP="00C47E91">
      <w:pPr>
        <w:spacing w:before="223"/>
        <w:ind w:left="356"/>
        <w:jc w:val="center"/>
        <w:rPr>
          <w:sz w:val="32"/>
        </w:rPr>
      </w:pPr>
      <w:r>
        <w:rPr>
          <w:sz w:val="32"/>
        </w:rPr>
        <w:t>Amity</w:t>
      </w:r>
      <w:r>
        <w:rPr>
          <w:spacing w:val="-16"/>
          <w:sz w:val="32"/>
        </w:rPr>
        <w:t xml:space="preserve"> </w:t>
      </w:r>
      <w:r>
        <w:rPr>
          <w:sz w:val="32"/>
        </w:rPr>
        <w:t>School</w:t>
      </w:r>
      <w:r>
        <w:rPr>
          <w:spacing w:val="-18"/>
          <w:sz w:val="32"/>
        </w:rPr>
        <w:t xml:space="preserve"> </w:t>
      </w:r>
      <w:r>
        <w:rPr>
          <w:sz w:val="32"/>
        </w:rPr>
        <w:t>of</w:t>
      </w:r>
      <w:r>
        <w:rPr>
          <w:spacing w:val="-16"/>
          <w:sz w:val="32"/>
        </w:rPr>
        <w:t xml:space="preserve"> </w:t>
      </w:r>
      <w:r>
        <w:rPr>
          <w:sz w:val="32"/>
        </w:rPr>
        <w:t>Engineering</w:t>
      </w:r>
      <w:r>
        <w:rPr>
          <w:spacing w:val="-14"/>
          <w:sz w:val="32"/>
        </w:rPr>
        <w:t xml:space="preserve"> </w:t>
      </w:r>
      <w:r>
        <w:rPr>
          <w:sz w:val="32"/>
        </w:rPr>
        <w:t>and</w:t>
      </w:r>
      <w:r>
        <w:rPr>
          <w:spacing w:val="-19"/>
          <w:sz w:val="32"/>
        </w:rPr>
        <w:t xml:space="preserve"> </w:t>
      </w:r>
      <w:r>
        <w:rPr>
          <w:spacing w:val="-2"/>
          <w:sz w:val="32"/>
        </w:rPr>
        <w:t>Technology</w:t>
      </w:r>
    </w:p>
    <w:p w14:paraId="63FF42FA" w14:textId="77777777" w:rsidR="00182C15" w:rsidRDefault="00182C15" w:rsidP="00C47E91">
      <w:pPr>
        <w:pStyle w:val="BodyText"/>
        <w:rPr>
          <w:sz w:val="32"/>
        </w:rPr>
      </w:pPr>
    </w:p>
    <w:p w14:paraId="52B96076" w14:textId="77777777" w:rsidR="00182C15" w:rsidRDefault="00182C15" w:rsidP="00C47E91">
      <w:pPr>
        <w:pStyle w:val="BodyText"/>
        <w:rPr>
          <w:sz w:val="32"/>
        </w:rPr>
      </w:pPr>
    </w:p>
    <w:p w14:paraId="2CB6816F" w14:textId="77777777" w:rsidR="00182C15" w:rsidRDefault="00182C15" w:rsidP="00C47E91">
      <w:pPr>
        <w:pStyle w:val="BodyText"/>
        <w:rPr>
          <w:sz w:val="32"/>
        </w:rPr>
      </w:pPr>
    </w:p>
    <w:p w14:paraId="70904EBF" w14:textId="77777777" w:rsidR="00182C15" w:rsidRDefault="00182C15" w:rsidP="00C47E91">
      <w:pPr>
        <w:pStyle w:val="BodyText"/>
        <w:spacing w:before="335"/>
        <w:rPr>
          <w:sz w:val="32"/>
        </w:rPr>
      </w:pPr>
    </w:p>
    <w:p w14:paraId="6B29E3E7" w14:textId="77777777" w:rsidR="00182C15" w:rsidRDefault="0023559E" w:rsidP="00C47E91">
      <w:pPr>
        <w:pStyle w:val="Heading3"/>
        <w:ind w:right="679"/>
      </w:pPr>
      <w:r>
        <w:rPr>
          <w:spacing w:val="-2"/>
        </w:rPr>
        <w:t>Certificate</w:t>
      </w:r>
    </w:p>
    <w:p w14:paraId="41191220" w14:textId="77777777" w:rsidR="00182C15" w:rsidRDefault="00182C15" w:rsidP="00C47E91">
      <w:pPr>
        <w:pStyle w:val="BodyText"/>
        <w:rPr>
          <w:b/>
        </w:rPr>
      </w:pPr>
    </w:p>
    <w:p w14:paraId="79D91D2E" w14:textId="77777777" w:rsidR="00182C15" w:rsidRDefault="00182C15" w:rsidP="00C47E91">
      <w:pPr>
        <w:pStyle w:val="BodyText"/>
        <w:rPr>
          <w:b/>
        </w:rPr>
      </w:pPr>
    </w:p>
    <w:p w14:paraId="19415976" w14:textId="77777777" w:rsidR="00182C15" w:rsidRDefault="00182C15" w:rsidP="00C47E91">
      <w:pPr>
        <w:pStyle w:val="BodyText"/>
        <w:spacing w:before="170"/>
        <w:rPr>
          <w:b/>
        </w:rPr>
      </w:pPr>
    </w:p>
    <w:p w14:paraId="7B11BF22" w14:textId="08C0E6CC" w:rsidR="00182C15" w:rsidRDefault="0023559E" w:rsidP="00C47E91">
      <w:pPr>
        <w:pStyle w:val="BodyText"/>
        <w:spacing w:before="1"/>
        <w:ind w:left="732" w:right="950"/>
      </w:pPr>
      <w:r>
        <w:t>This</w:t>
      </w:r>
      <w:r>
        <w:rPr>
          <w:spacing w:val="33"/>
        </w:rPr>
        <w:t xml:space="preserve"> </w:t>
      </w:r>
      <w:r>
        <w:t>is</w:t>
      </w:r>
      <w:r>
        <w:rPr>
          <w:spacing w:val="33"/>
        </w:rPr>
        <w:t xml:space="preserve"> </w:t>
      </w:r>
      <w:r>
        <w:t>to</w:t>
      </w:r>
      <w:r>
        <w:rPr>
          <w:spacing w:val="30"/>
        </w:rPr>
        <w:t xml:space="preserve"> </w:t>
      </w:r>
      <w:r>
        <w:t>certify</w:t>
      </w:r>
      <w:r>
        <w:rPr>
          <w:spacing w:val="32"/>
        </w:rPr>
        <w:t xml:space="preserve"> </w:t>
      </w:r>
      <w:r>
        <w:t>that</w:t>
      </w:r>
      <w:r>
        <w:rPr>
          <w:spacing w:val="32"/>
        </w:rPr>
        <w:t xml:space="preserve"> </w:t>
      </w:r>
      <w:r>
        <w:t>the</w:t>
      </w:r>
      <w:r>
        <w:rPr>
          <w:spacing w:val="31"/>
        </w:rPr>
        <w:t xml:space="preserve"> </w:t>
      </w:r>
      <w:r>
        <w:t>work</w:t>
      </w:r>
      <w:r>
        <w:rPr>
          <w:spacing w:val="32"/>
        </w:rPr>
        <w:t xml:space="preserve"> </w:t>
      </w:r>
      <w:r>
        <w:t>in</w:t>
      </w:r>
      <w:r>
        <w:rPr>
          <w:spacing w:val="33"/>
        </w:rPr>
        <w:t xml:space="preserve"> </w:t>
      </w:r>
      <w:r>
        <w:t>the</w:t>
      </w:r>
      <w:r>
        <w:rPr>
          <w:spacing w:val="32"/>
        </w:rPr>
        <w:t xml:space="preserve"> </w:t>
      </w:r>
      <w:r>
        <w:t>project</w:t>
      </w:r>
      <w:r>
        <w:rPr>
          <w:spacing w:val="33"/>
        </w:rPr>
        <w:t xml:space="preserve"> </w:t>
      </w:r>
      <w:r>
        <w:t>report</w:t>
      </w:r>
      <w:r>
        <w:rPr>
          <w:spacing w:val="32"/>
        </w:rPr>
        <w:t xml:space="preserve"> </w:t>
      </w:r>
      <w:r>
        <w:t>entitled</w:t>
      </w:r>
      <w:r>
        <w:rPr>
          <w:spacing w:val="38"/>
        </w:rPr>
        <w:t xml:space="preserve"> </w:t>
      </w:r>
      <w:r>
        <w:rPr>
          <w:b/>
        </w:rPr>
        <w:t>“</w:t>
      </w:r>
      <w:proofErr w:type="spellStart"/>
      <w:r w:rsidR="00306F86">
        <w:rPr>
          <w:b/>
        </w:rPr>
        <w:t>ChurnPred</w:t>
      </w:r>
      <w:proofErr w:type="spellEnd"/>
      <w:r>
        <w:rPr>
          <w:b/>
        </w:rPr>
        <w:t>”</w:t>
      </w:r>
      <w:r>
        <w:rPr>
          <w:b/>
          <w:spacing w:val="34"/>
        </w:rPr>
        <w:t xml:space="preserve"> </w:t>
      </w:r>
      <w:r>
        <w:t>by</w:t>
      </w:r>
      <w:r>
        <w:rPr>
          <w:spacing w:val="80"/>
        </w:rPr>
        <w:t xml:space="preserve"> </w:t>
      </w:r>
      <w:r w:rsidR="00306F86">
        <w:rPr>
          <w:b/>
        </w:rPr>
        <w:t>Arush Masih</w:t>
      </w:r>
      <w:r>
        <w:rPr>
          <w:b/>
        </w:rPr>
        <w:t xml:space="preserve"> </w:t>
      </w:r>
      <w:r>
        <w:t xml:space="preserve">bearing Enroll. No – </w:t>
      </w:r>
      <w:r>
        <w:rPr>
          <w:b/>
        </w:rPr>
        <w:t>A501052</w:t>
      </w:r>
      <w:r w:rsidR="00306F86">
        <w:rPr>
          <w:b/>
        </w:rPr>
        <w:t>24021</w:t>
      </w:r>
      <w:r>
        <w:rPr>
          <w:b/>
        </w:rPr>
        <w:t xml:space="preserve"> </w:t>
      </w:r>
      <w:r>
        <w:t xml:space="preserve">is a </w:t>
      </w:r>
      <w:proofErr w:type="spellStart"/>
      <w:r>
        <w:t>bonafide</w:t>
      </w:r>
      <w:proofErr w:type="spellEnd"/>
      <w:r>
        <w:t xml:space="preserve"> record of project work carried out by her under</w:t>
      </w:r>
      <w:r>
        <w:rPr>
          <w:spacing w:val="-1"/>
        </w:rPr>
        <w:t xml:space="preserve"> </w:t>
      </w:r>
      <w:r>
        <w:t>my supervision</w:t>
      </w:r>
      <w:r>
        <w:rPr>
          <w:spacing w:val="-1"/>
        </w:rPr>
        <w:t xml:space="preserve"> </w:t>
      </w:r>
      <w:r>
        <w:t>and</w:t>
      </w:r>
      <w:r>
        <w:rPr>
          <w:spacing w:val="-1"/>
        </w:rPr>
        <w:t xml:space="preserve"> </w:t>
      </w:r>
      <w:r>
        <w:t>guidance</w:t>
      </w:r>
      <w:r>
        <w:rPr>
          <w:spacing w:val="-3"/>
        </w:rPr>
        <w:t xml:space="preserve"> </w:t>
      </w:r>
      <w:r>
        <w:t>in</w:t>
      </w:r>
      <w:r>
        <w:rPr>
          <w:spacing w:val="-1"/>
        </w:rPr>
        <w:t xml:space="preserve"> </w:t>
      </w:r>
      <w:r>
        <w:t>partial fulfilment of</w:t>
      </w:r>
      <w:r>
        <w:rPr>
          <w:spacing w:val="-1"/>
        </w:rPr>
        <w:t xml:space="preserve"> </w:t>
      </w:r>
      <w:r>
        <w:t>the</w:t>
      </w:r>
      <w:r>
        <w:rPr>
          <w:spacing w:val="-3"/>
        </w:rPr>
        <w:t xml:space="preserve"> </w:t>
      </w:r>
      <w:r>
        <w:t>requirements</w:t>
      </w:r>
      <w:r>
        <w:rPr>
          <w:spacing w:val="-1"/>
        </w:rPr>
        <w:t xml:space="preserve"> </w:t>
      </w:r>
      <w:r>
        <w:t>for</w:t>
      </w:r>
      <w:r>
        <w:rPr>
          <w:spacing w:val="-4"/>
        </w:rPr>
        <w:t xml:space="preserve"> </w:t>
      </w:r>
      <w:r>
        <w:t>the award of the degree of Bachelor of Technology in Computer Science and Engineering in the Department</w:t>
      </w:r>
      <w:r>
        <w:rPr>
          <w:spacing w:val="78"/>
        </w:rPr>
        <w:t xml:space="preserve"> </w:t>
      </w:r>
      <w:r>
        <w:t>of</w:t>
      </w:r>
      <w:r>
        <w:rPr>
          <w:spacing w:val="77"/>
        </w:rPr>
        <w:t xml:space="preserve"> </w:t>
      </w:r>
      <w:r>
        <w:t>Computer</w:t>
      </w:r>
      <w:r>
        <w:rPr>
          <w:spacing w:val="77"/>
        </w:rPr>
        <w:t xml:space="preserve"> </w:t>
      </w:r>
      <w:r>
        <w:t>Science</w:t>
      </w:r>
      <w:r>
        <w:rPr>
          <w:spacing w:val="77"/>
        </w:rPr>
        <w:t xml:space="preserve"> </w:t>
      </w:r>
      <w:r>
        <w:t>and</w:t>
      </w:r>
      <w:r>
        <w:rPr>
          <w:spacing w:val="80"/>
        </w:rPr>
        <w:t xml:space="preserve"> </w:t>
      </w:r>
      <w:r>
        <w:t>Engineering,</w:t>
      </w:r>
      <w:r>
        <w:rPr>
          <w:spacing w:val="75"/>
        </w:rPr>
        <w:t xml:space="preserve"> </w:t>
      </w:r>
      <w:r>
        <w:t>Amity</w:t>
      </w:r>
      <w:r>
        <w:rPr>
          <w:spacing w:val="78"/>
        </w:rPr>
        <w:t xml:space="preserve"> </w:t>
      </w:r>
      <w:r>
        <w:t>School</w:t>
      </w:r>
      <w:r>
        <w:rPr>
          <w:spacing w:val="78"/>
        </w:rPr>
        <w:t xml:space="preserve"> </w:t>
      </w:r>
      <w:r>
        <w:t>of</w:t>
      </w:r>
      <w:r>
        <w:rPr>
          <w:spacing w:val="79"/>
        </w:rPr>
        <w:t xml:space="preserve"> </w:t>
      </w:r>
      <w:r>
        <w:t>Engineering</w:t>
      </w:r>
      <w:r>
        <w:rPr>
          <w:spacing w:val="78"/>
        </w:rPr>
        <w:t xml:space="preserve"> </w:t>
      </w:r>
      <w:r>
        <w:t>and Technology, Amity University Haryana, Gurgaon. Neither this project nor any part of it has been submitted for any degree or academic award elsewhere.</w:t>
      </w:r>
    </w:p>
    <w:p w14:paraId="72DE6F30" w14:textId="77777777" w:rsidR="00182C15" w:rsidRDefault="00182C15" w:rsidP="00C47E91">
      <w:pPr>
        <w:pStyle w:val="BodyText"/>
      </w:pPr>
    </w:p>
    <w:p w14:paraId="5A5C7DBF" w14:textId="77777777" w:rsidR="00182C15" w:rsidRDefault="00182C15" w:rsidP="00C47E91">
      <w:pPr>
        <w:pStyle w:val="BodyText"/>
      </w:pPr>
    </w:p>
    <w:p w14:paraId="2950E539" w14:textId="77777777" w:rsidR="00182C15" w:rsidRDefault="00182C15" w:rsidP="00C47E91">
      <w:pPr>
        <w:pStyle w:val="BodyText"/>
      </w:pPr>
    </w:p>
    <w:p w14:paraId="1F769792" w14:textId="77777777" w:rsidR="00182C15" w:rsidRDefault="00182C15" w:rsidP="00C47E91">
      <w:pPr>
        <w:pStyle w:val="BodyText"/>
        <w:spacing w:before="1"/>
      </w:pPr>
    </w:p>
    <w:p w14:paraId="23A18A0B" w14:textId="080D32EC" w:rsidR="00182C15" w:rsidRDefault="0023559E" w:rsidP="00C47E91">
      <w:pPr>
        <w:pStyle w:val="Heading8"/>
        <w:ind w:left="0" w:right="845"/>
        <w:jc w:val="right"/>
      </w:pPr>
      <w:r>
        <w:t>Dr.</w:t>
      </w:r>
      <w:r>
        <w:rPr>
          <w:spacing w:val="-1"/>
        </w:rPr>
        <w:t xml:space="preserve"> </w:t>
      </w:r>
      <w:r>
        <w:t>S</w:t>
      </w:r>
      <w:r w:rsidR="00306F86">
        <w:t>unil Sikka</w:t>
      </w:r>
    </w:p>
    <w:p w14:paraId="07397ED9" w14:textId="77777777" w:rsidR="00182C15" w:rsidRDefault="0023559E" w:rsidP="00C47E91">
      <w:pPr>
        <w:pStyle w:val="BodyText"/>
        <w:spacing w:before="137"/>
        <w:ind w:right="848"/>
        <w:jc w:val="right"/>
      </w:pPr>
      <w:r>
        <w:rPr>
          <w:spacing w:val="-2"/>
        </w:rPr>
        <w:t>Professor</w:t>
      </w:r>
    </w:p>
    <w:p w14:paraId="43C3FCCF" w14:textId="77777777" w:rsidR="00182C15" w:rsidRDefault="00182C15" w:rsidP="00C47E91">
      <w:pPr>
        <w:pStyle w:val="BodyText"/>
      </w:pPr>
    </w:p>
    <w:p w14:paraId="50C670F5" w14:textId="77777777" w:rsidR="00182C15" w:rsidRDefault="00182C15" w:rsidP="00C47E91">
      <w:pPr>
        <w:pStyle w:val="BodyText"/>
      </w:pPr>
    </w:p>
    <w:p w14:paraId="67E84616" w14:textId="77777777" w:rsidR="00182C15" w:rsidRDefault="00182C15" w:rsidP="00C47E91">
      <w:pPr>
        <w:pStyle w:val="BodyText"/>
        <w:spacing w:before="262"/>
      </w:pPr>
    </w:p>
    <w:p w14:paraId="54D5A716" w14:textId="77777777" w:rsidR="00182C15" w:rsidRDefault="0023559E" w:rsidP="00C47E91">
      <w:pPr>
        <w:ind w:left="732"/>
        <w:rPr>
          <w:b/>
          <w:i/>
          <w:sz w:val="24"/>
        </w:rPr>
      </w:pPr>
      <w:r>
        <w:rPr>
          <w:b/>
          <w:i/>
          <w:spacing w:val="-2"/>
          <w:sz w:val="24"/>
        </w:rPr>
        <w:t>Date:</w:t>
      </w:r>
    </w:p>
    <w:p w14:paraId="2377E2D1" w14:textId="77777777" w:rsidR="00182C15" w:rsidRDefault="00182C15" w:rsidP="00C47E91">
      <w:pPr>
        <w:pStyle w:val="BodyText"/>
        <w:rPr>
          <w:b/>
          <w:i/>
        </w:rPr>
      </w:pPr>
    </w:p>
    <w:p w14:paraId="49452E03" w14:textId="77777777" w:rsidR="00182C15" w:rsidRDefault="00182C15" w:rsidP="00C47E91">
      <w:pPr>
        <w:pStyle w:val="BodyText"/>
        <w:rPr>
          <w:b/>
          <w:i/>
        </w:rPr>
      </w:pPr>
    </w:p>
    <w:p w14:paraId="7E030ADE" w14:textId="77777777" w:rsidR="00182C15" w:rsidRDefault="00182C15" w:rsidP="00C47E91">
      <w:pPr>
        <w:pStyle w:val="BodyText"/>
        <w:rPr>
          <w:b/>
          <w:i/>
        </w:rPr>
      </w:pPr>
    </w:p>
    <w:p w14:paraId="55C4E86C" w14:textId="77777777" w:rsidR="00182C15" w:rsidRDefault="00182C15" w:rsidP="00C47E91">
      <w:pPr>
        <w:pStyle w:val="BodyText"/>
        <w:rPr>
          <w:b/>
          <w:i/>
        </w:rPr>
      </w:pPr>
    </w:p>
    <w:p w14:paraId="7E156826" w14:textId="77777777" w:rsidR="00182C15" w:rsidRDefault="00182C15" w:rsidP="00C47E91">
      <w:pPr>
        <w:pStyle w:val="BodyText"/>
        <w:rPr>
          <w:b/>
          <w:i/>
        </w:rPr>
      </w:pPr>
    </w:p>
    <w:p w14:paraId="1A50A245" w14:textId="1C6AB181" w:rsidR="00182C15" w:rsidRDefault="00182C15" w:rsidP="0058575F">
      <w:pPr>
        <w:pStyle w:val="Heading8"/>
        <w:ind w:left="0"/>
      </w:pPr>
    </w:p>
    <w:p w14:paraId="2B9DB7AC" w14:textId="77777777" w:rsidR="0058575F" w:rsidRDefault="0058575F" w:rsidP="0058575F">
      <w:pPr>
        <w:pStyle w:val="Heading8"/>
        <w:ind w:left="0"/>
      </w:pPr>
    </w:p>
    <w:p w14:paraId="6D4A15A4" w14:textId="77777777" w:rsidR="00182C15" w:rsidRDefault="00182C15" w:rsidP="00C47E91">
      <w:pPr>
        <w:pStyle w:val="BodyText"/>
        <w:sectPr w:rsidR="00182C15">
          <w:pgSz w:w="11920" w:h="16850"/>
          <w:pgMar w:top="118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p>
    <w:p w14:paraId="4E2D172F" w14:textId="77777777" w:rsidR="00182C15" w:rsidRDefault="00182C15" w:rsidP="00C47E91">
      <w:pPr>
        <w:pStyle w:val="BodyText"/>
        <w:spacing w:before="131"/>
        <w:rPr>
          <w:sz w:val="32"/>
        </w:rPr>
      </w:pPr>
    </w:p>
    <w:p w14:paraId="32DF416A" w14:textId="77777777" w:rsidR="00182C15" w:rsidRDefault="0023559E" w:rsidP="00C47E91">
      <w:pPr>
        <w:pStyle w:val="Heading3"/>
        <w:ind w:right="677"/>
      </w:pPr>
      <w:r>
        <w:rPr>
          <w:spacing w:val="-2"/>
        </w:rPr>
        <w:t>Course</w:t>
      </w:r>
      <w:r>
        <w:rPr>
          <w:spacing w:val="-15"/>
        </w:rPr>
        <w:t xml:space="preserve"> </w:t>
      </w:r>
      <w:r>
        <w:rPr>
          <w:spacing w:val="-2"/>
        </w:rPr>
        <w:t>Certificate</w:t>
      </w:r>
    </w:p>
    <w:p w14:paraId="39DD4318" w14:textId="77777777" w:rsidR="00182C15" w:rsidRDefault="00182C15" w:rsidP="00C47E91">
      <w:pPr>
        <w:pStyle w:val="BodyText"/>
        <w:rPr>
          <w:b/>
          <w:sz w:val="20"/>
        </w:rPr>
      </w:pPr>
    </w:p>
    <w:p w14:paraId="7863C369" w14:textId="77777777" w:rsidR="00182C15" w:rsidRDefault="00182C15" w:rsidP="00C47E91">
      <w:pPr>
        <w:pStyle w:val="BodyText"/>
        <w:rPr>
          <w:b/>
          <w:sz w:val="20"/>
        </w:rPr>
      </w:pPr>
    </w:p>
    <w:p w14:paraId="264C8F3A" w14:textId="77777777" w:rsidR="00182C15" w:rsidRDefault="00182C15" w:rsidP="00C47E91">
      <w:pPr>
        <w:pStyle w:val="BodyText"/>
        <w:rPr>
          <w:b/>
          <w:sz w:val="20"/>
        </w:rPr>
      </w:pPr>
    </w:p>
    <w:p w14:paraId="621F761D" w14:textId="77777777" w:rsidR="00182C15" w:rsidRDefault="00182C15" w:rsidP="00C47E91">
      <w:pPr>
        <w:pStyle w:val="BodyText"/>
        <w:rPr>
          <w:b/>
          <w:sz w:val="20"/>
        </w:rPr>
      </w:pPr>
    </w:p>
    <w:p w14:paraId="6C0332C4" w14:textId="77777777" w:rsidR="00182C15" w:rsidRDefault="00182C15" w:rsidP="00C47E91">
      <w:pPr>
        <w:pStyle w:val="BodyText"/>
        <w:rPr>
          <w:b/>
          <w:sz w:val="20"/>
        </w:rPr>
      </w:pPr>
    </w:p>
    <w:p w14:paraId="51BF692F" w14:textId="77777777" w:rsidR="00182C15" w:rsidRDefault="00182C15" w:rsidP="00C47E91">
      <w:pPr>
        <w:pStyle w:val="BodyText"/>
        <w:rPr>
          <w:b/>
          <w:sz w:val="20"/>
        </w:rPr>
      </w:pPr>
    </w:p>
    <w:p w14:paraId="37332424" w14:textId="77777777" w:rsidR="00182C15" w:rsidRDefault="00182C15" w:rsidP="00C47E91">
      <w:pPr>
        <w:pStyle w:val="BodyText"/>
        <w:rPr>
          <w:b/>
          <w:sz w:val="20"/>
        </w:rPr>
      </w:pPr>
    </w:p>
    <w:p w14:paraId="3FFE3A6A" w14:textId="77777777" w:rsidR="00182C15" w:rsidRDefault="00182C15" w:rsidP="00C47E91">
      <w:pPr>
        <w:pStyle w:val="BodyText"/>
        <w:rPr>
          <w:b/>
          <w:sz w:val="20"/>
        </w:rPr>
      </w:pPr>
    </w:p>
    <w:p w14:paraId="1713DD56" w14:textId="3C595B9B" w:rsidR="00182C15" w:rsidRDefault="00306F86" w:rsidP="00C47E91">
      <w:pPr>
        <w:pStyle w:val="BodyText"/>
        <w:spacing w:before="173"/>
        <w:rPr>
          <w:b/>
          <w:sz w:val="20"/>
        </w:rPr>
      </w:pPr>
      <w:r>
        <w:rPr>
          <w:b/>
          <w:noProof/>
          <w:sz w:val="20"/>
        </w:rPr>
        <w:drawing>
          <wp:anchor distT="0" distB="0" distL="114300" distR="114300" simplePos="0" relativeHeight="487593472" behindDoc="0" locked="0" layoutInCell="1" allowOverlap="1" wp14:anchorId="4B1C14C3" wp14:editId="0FEB534C">
            <wp:simplePos x="0" y="0"/>
            <wp:positionH relativeFrom="column">
              <wp:posOffset>-3043</wp:posOffset>
            </wp:positionH>
            <wp:positionV relativeFrom="paragraph">
              <wp:posOffset>196215</wp:posOffset>
            </wp:positionV>
            <wp:extent cx="6590030" cy="4901565"/>
            <wp:effectExtent l="0" t="0" r="1270" b="0"/>
            <wp:wrapThrough wrapText="bothSides">
              <wp:wrapPolygon edited="0">
                <wp:start x="0" y="0"/>
                <wp:lineTo x="0" y="21491"/>
                <wp:lineTo x="21542" y="21491"/>
                <wp:lineTo x="21542" y="0"/>
                <wp:lineTo x="0" y="0"/>
              </wp:wrapPolygon>
            </wp:wrapThrough>
            <wp:docPr id="2008096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96418" name="Picture 20080964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90030" cy="4901565"/>
                    </a:xfrm>
                    <a:prstGeom prst="rect">
                      <a:avLst/>
                    </a:prstGeom>
                  </pic:spPr>
                </pic:pic>
              </a:graphicData>
            </a:graphic>
            <wp14:sizeRelH relativeFrom="page">
              <wp14:pctWidth>0</wp14:pctWidth>
            </wp14:sizeRelH>
            <wp14:sizeRelV relativeFrom="page">
              <wp14:pctHeight>0</wp14:pctHeight>
            </wp14:sizeRelV>
          </wp:anchor>
        </w:drawing>
      </w:r>
    </w:p>
    <w:p w14:paraId="701EE423" w14:textId="77777777" w:rsidR="00182C15" w:rsidRDefault="00182C15" w:rsidP="00C47E91">
      <w:pPr>
        <w:pStyle w:val="BodyText"/>
        <w:rPr>
          <w:b/>
          <w:sz w:val="20"/>
        </w:rPr>
        <w:sectPr w:rsidR="00182C15">
          <w:pgSz w:w="11920" w:h="16850"/>
          <w:pgMar w:top="194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p>
    <w:p w14:paraId="6C22FFE2" w14:textId="77777777" w:rsidR="00182C15" w:rsidRDefault="0023559E" w:rsidP="00C47E91">
      <w:pPr>
        <w:pStyle w:val="Heading3"/>
        <w:spacing w:before="59"/>
        <w:ind w:right="679"/>
      </w:pPr>
      <w:r>
        <w:rPr>
          <w:spacing w:val="-2"/>
        </w:rPr>
        <w:lastRenderedPageBreak/>
        <w:t>Abstract</w:t>
      </w:r>
    </w:p>
    <w:p w14:paraId="15BF73F8" w14:textId="77777777" w:rsidR="00182C15" w:rsidRDefault="00182C15" w:rsidP="00C47E91">
      <w:pPr>
        <w:pStyle w:val="BodyText"/>
        <w:spacing w:before="15"/>
        <w:rPr>
          <w:b/>
          <w:sz w:val="32"/>
        </w:rPr>
      </w:pPr>
    </w:p>
    <w:p w14:paraId="279F43C5" w14:textId="77777777" w:rsidR="007344DA" w:rsidRDefault="007344DA" w:rsidP="00C47E91">
      <w:pPr>
        <w:pStyle w:val="BodyText"/>
        <w:jc w:val="both"/>
      </w:pPr>
    </w:p>
    <w:p w14:paraId="1DE6E873" w14:textId="6F8557D1" w:rsidR="00182C15" w:rsidRDefault="00306F86" w:rsidP="00C47E91">
      <w:pPr>
        <w:pStyle w:val="BodyText"/>
        <w:jc w:val="both"/>
      </w:pPr>
      <w:r>
        <w:rPr>
          <w:rFonts w:ascii="Times New Roman" w:hAnsi="Times New Roman"/>
          <w:sz w:val="24"/>
        </w:rPr>
        <w:t>In the hyper-competitive telecommunications and subscription software-as-a-service (SaaS) industries, customer retention represents the single most decisive factor governing sustainable profitability and enterprise valuation. With Customer Acquisition Costs (CAC) escalating rapidly due to market saturation, early detection and proactive mitigation of customer churn have become paramount operational imperatives. Traditional enterprise churn prediction pipelines, however, exhibit fundamental architectural bottlenecks: they rely heavily on centralized cloud microservices, which introduce network latency (often exceeding 500ms to 1.5s), expose sensitive customer Personally Identifiable Information (PII) to external transit risks, and generate unsustainable cloud infrastructure costs during high-throughput operational workloads.</w:t>
      </w:r>
    </w:p>
    <w:p w14:paraId="38A6A745" w14:textId="77777777" w:rsidR="00306F86" w:rsidRDefault="00306F86" w:rsidP="00C47E91">
      <w:pPr>
        <w:pStyle w:val="BodyText"/>
        <w:spacing w:before="137"/>
      </w:pPr>
    </w:p>
    <w:p w14:paraId="45B3A0B0" w14:textId="77777777" w:rsidR="007344DA" w:rsidRDefault="007344DA" w:rsidP="00C47E91">
      <w:pPr>
        <w:pStyle w:val="BodyText"/>
        <w:spacing w:before="137"/>
      </w:pPr>
    </w:p>
    <w:p w14:paraId="76E9D1E5" w14:textId="3BC9FE42" w:rsidR="00182C15" w:rsidRDefault="007344DA" w:rsidP="00C47E91">
      <w:pPr>
        <w:pStyle w:val="BodyText"/>
      </w:pPr>
      <w:proofErr w:type="spellStart"/>
      <w:proofErr w:type="spellEnd"/>
      <w:proofErr w:type="spellStart"/>
      <w:proofErr w:type="spellEnd"/>
      <w:r>
        <w:rPr>
          <w:rFonts w:ascii="Times New Roman" w:hAnsi="Times New Roman"/>
          <w:sz w:val="24"/>
        </w:rPr>
        <w:t>This project, entitled 'ChurnPred — Customer Churn Predictor', addresses these challenges by developing a high-performance, privacy-first, zero-latency predictive intelligence platform. The system operates on a cutting-edge hybrid architecture: an Extreme Gradient Boosting (XGBoost) model composed of 100 sequential decision trees was trained on historical telecommunications customer records and transpiled directly into native JavaScript using m2cgen. This enables complex, non-linear machine learning inference to execute locally within the client browser runtime in under 0.4 milliseconds with zero server overhead. The platform combines individual subscriber risk diagnosis with an enterprise batch cohort processing engine capable of scoring multi-thousand customer datasets via client-side CSV processing.</w:t>
      </w:r>
    </w:p>
    <w:p w14:paraId="40C0C1F7" w14:textId="77777777" w:rsidR="007344DA" w:rsidRDefault="007344DA" w:rsidP="00C47E91">
      <w:pPr>
        <w:pStyle w:val="BodyText"/>
        <w:ind w:firstLine="720"/>
      </w:pPr>
    </w:p>
    <w:p w14:paraId="1E0BFE59" w14:textId="77777777" w:rsidR="007344DA" w:rsidRDefault="007344DA" w:rsidP="00C47E91">
      <w:pPr>
        <w:pStyle w:val="BodyText"/>
        <w:ind w:firstLine="720"/>
      </w:pPr>
    </w:p>
    <w:p w14:paraId="2ABE3E85" w14:textId="3CC087B2" w:rsidR="00182C15" w:rsidRDefault="007344DA" w:rsidP="00C47E91">
      <w:pPr>
        <w:pStyle w:val="BodyText"/>
        <w:jc w:val="both"/>
        <w:sectPr w:rsidR="00182C15">
          <w:pgSz w:w="11920" w:h="16850"/>
          <w:pgMar w:top="136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proofErr w:type="spellStart"/>
      <w:proofErr w:type="spellEnd"/>
      <w:r>
        <w:rPr>
          <w:rFonts w:ascii="Times New Roman" w:hAnsi="Times New Roman"/>
          <w:sz w:val="24"/>
        </w:rPr>
        <w:t>To ensure transparency and bridge the gap between predictive modeling and strategic business intervention, ChurnPred incorporates an Explainable AI (XAI) suite featuring real-time SHAP feature attribution waterbars, a six-axis account health diagnostic radar, and an interactive 'What-If' countermeasure ARR simulator. Furthermore, an In-App AI Retention Strategist Chatbot powered by Google GenAI (gemini-2.5-flash) with deterministic offline fallback delivers personalized, policy-compliant counter-attrition playbooks. Encapsulated in an ergonomic cyber-glassmorphism user interface featuring an interactive WebGL OGL liquid-warp 3D typography hero, ChurnPred establishes a new benchmark for accessible, explainable, and zero-latency enterprise AI decision support.</w:t>
      </w:r>
    </w:p>
    <w:p w14:paraId="5F714C5B" w14:textId="77777777" w:rsidR="00182C15" w:rsidRDefault="0023559E" w:rsidP="00C47E91">
      <w:pPr>
        <w:pStyle w:val="Heading4"/>
      </w:pPr>
      <w:r>
        <w:lastRenderedPageBreak/>
        <w:t>LIST</w:t>
      </w:r>
      <w:r>
        <w:rPr>
          <w:spacing w:val="-14"/>
        </w:rPr>
        <w:t xml:space="preserve"> </w:t>
      </w:r>
      <w:r>
        <w:t>OF</w:t>
      </w:r>
      <w:r>
        <w:rPr>
          <w:spacing w:val="-19"/>
        </w:rPr>
        <w:t xml:space="preserve"> </w:t>
      </w:r>
      <w:r>
        <w:rPr>
          <w:spacing w:val="-2"/>
        </w:rPr>
        <w:t>FIGURES</w:t>
      </w:r>
    </w:p>
    <w:p w14:paraId="4CE488B0" w14:textId="77777777" w:rsidR="0067403B" w:rsidRDefault="0067403B" w:rsidP="00C47E91">
      <w:pPr>
        <w:tabs>
          <w:tab w:val="right" w:leader="dot" w:pos="9770"/>
        </w:tabs>
        <w:spacing w:before="673"/>
        <w:ind w:left="732"/>
        <w:rPr>
          <w:b/>
          <w:i/>
          <w:sz w:val="24"/>
        </w:rPr>
      </w:pPr>
    </w:p>
    <w:p>
      <w:pPr>
        <w:tabs>
          <w:tab w:val="right" w:leader="dot" w:pos="9760"/>
        </w:tabs>
        <w:spacing w:before="120" w:after="40" w:line="320" w:lineRule="auto"/>
        <w:ind w:left="360"/>
        <w:rPr>
          <w:b/>
          <w:i/>
          <w:sz w:val="22"/>
        </w:rPr>
      </w:pPr>
      <w:r>
        <w:rPr>
          <w:b/>
          <w:i/>
          <w:sz w:val="22"/>
        </w:rPr>
        <w:t>FIG 1   System Data Flow &amp; Multi-Tier Edge Architecture</w:t>
      </w:r>
      <w:r>
        <w:rPr>
          <w:b/>
          <w:i/>
          <w:sz w:val="22"/>
        </w:rPr>
        <w:tab/>
        <w:t>10</w:t>
      </w:r>
    </w:p>
    <w:p>
      <w:pPr>
        <w:tabs>
          <w:tab w:val="right" w:leader="dot" w:pos="9760"/>
        </w:tabs>
        <w:spacing w:before="120" w:after="40" w:line="320" w:lineRule="auto"/>
        <w:ind w:left="360"/>
        <w:rPr>
          <w:b/>
          <w:i/>
          <w:sz w:val="22"/>
        </w:rPr>
      </w:pPr>
      <w:r>
        <w:rPr>
          <w:b/>
          <w:i/>
          <w:sz w:val="22"/>
        </w:rPr>
        <w:t>FIG 2   Interactive 3D WebGL Liquid Warp Hero Typography</w:t>
      </w:r>
      <w:r>
        <w:rPr>
          <w:b/>
          <w:i/>
          <w:sz w:val="22"/>
        </w:rPr>
        <w:tab/>
        <w:t>18</w:t>
      </w:r>
    </w:p>
    <w:p>
      <w:pPr>
        <w:tabs>
          <w:tab w:val="right" w:leader="dot" w:pos="9760"/>
        </w:tabs>
        <w:spacing w:before="120" w:after="40" w:line="320" w:lineRule="auto"/>
        <w:ind w:left="360"/>
        <w:rPr>
          <w:b/>
          <w:i/>
          <w:sz w:val="22"/>
        </w:rPr>
      </w:pPr>
      <w:r>
        <w:rPr>
          <w:b/>
          <w:i/>
          <w:sz w:val="22"/>
        </w:rPr>
        <w:t>FIG 3   Customer Profile Input Form &amp; Feature Selection Interface</w:t>
      </w:r>
      <w:r>
        <w:rPr>
          <w:b/>
          <w:i/>
          <w:sz w:val="22"/>
        </w:rPr>
        <w:tab/>
        <w:t>19</w:t>
      </w:r>
    </w:p>
    <w:p>
      <w:pPr>
        <w:tabs>
          <w:tab w:val="right" w:leader="dot" w:pos="9760"/>
        </w:tabs>
        <w:spacing w:before="120" w:after="40" w:line="320" w:lineRule="auto"/>
        <w:ind w:left="360"/>
        <w:rPr>
          <w:b/>
          <w:i/>
          <w:sz w:val="22"/>
        </w:rPr>
      </w:pPr>
      <w:r>
        <w:rPr>
          <w:b/>
          <w:i/>
          <w:sz w:val="22"/>
        </w:rPr>
        <w:t>FIG 4   Prediction Result Gauge &amp; Calibrated Risk Tier Classification</w:t>
      </w:r>
      <w:r>
        <w:rPr>
          <w:b/>
          <w:i/>
          <w:sz w:val="22"/>
        </w:rPr>
        <w:tab/>
        <w:t>20</w:t>
      </w:r>
    </w:p>
    <w:p>
      <w:pPr>
        <w:tabs>
          <w:tab w:val="right" w:leader="dot" w:pos="9760"/>
        </w:tabs>
        <w:spacing w:before="120" w:after="40" w:line="320" w:lineRule="auto"/>
        <w:ind w:left="360"/>
        <w:rPr>
          <w:b/>
          <w:i/>
          <w:sz w:val="22"/>
        </w:rPr>
      </w:pPr>
      <w:r>
        <w:rPr>
          <w:b/>
          <w:i/>
          <w:sz w:val="22"/>
        </w:rPr>
        <w:t>FIG 5   Dynamic SHAP Waterfall Feature Attribution Visualization</w:t>
      </w:r>
      <w:r>
        <w:rPr>
          <w:b/>
          <w:i/>
          <w:sz w:val="22"/>
        </w:rPr>
        <w:tab/>
        <w:t>21</w:t>
      </w:r>
    </w:p>
    <w:p>
      <w:pPr>
        <w:tabs>
          <w:tab w:val="right" w:leader="dot" w:pos="9760"/>
        </w:tabs>
        <w:spacing w:before="120" w:after="40" w:line="320" w:lineRule="auto"/>
        <w:ind w:left="360"/>
        <w:rPr>
          <w:b/>
          <w:i/>
          <w:sz w:val="22"/>
        </w:rPr>
      </w:pPr>
      <w:r>
        <w:rPr>
          <w:b/>
          <w:i/>
          <w:sz w:val="22"/>
        </w:rPr>
        <w:t>FIG 6   Six-Axis Account Health Diagnostic Radar</w:t>
      </w:r>
      <w:r>
        <w:rPr>
          <w:b/>
          <w:i/>
          <w:sz w:val="22"/>
        </w:rPr>
        <w:tab/>
        <w:t>22</w:t>
      </w:r>
    </w:p>
    <w:p>
      <w:pPr>
        <w:tabs>
          <w:tab w:val="right" w:leader="dot" w:pos="9760"/>
        </w:tabs>
        <w:spacing w:before="120" w:after="40" w:line="320" w:lineRule="auto"/>
        <w:ind w:left="360"/>
        <w:rPr>
          <w:b/>
          <w:i/>
          <w:sz w:val="22"/>
        </w:rPr>
      </w:pPr>
      <w:r>
        <w:rPr>
          <w:b/>
          <w:i/>
          <w:sz w:val="22"/>
        </w:rPr>
        <w:t>FIG 7   Interactive What-If Countermeasure ARR Simulation Engine</w:t>
      </w:r>
      <w:r>
        <w:rPr>
          <w:b/>
          <w:i/>
          <w:sz w:val="22"/>
        </w:rPr>
        <w:tab/>
        <w:t>23</w:t>
      </w:r>
    </w:p>
    <w:p>
      <w:pPr>
        <w:tabs>
          <w:tab w:val="right" w:leader="dot" w:pos="9760"/>
        </w:tabs>
        <w:spacing w:before="120" w:after="40" w:line="320" w:lineRule="auto"/>
        <w:ind w:left="360"/>
        <w:rPr>
          <w:b/>
          <w:i/>
          <w:sz w:val="22"/>
        </w:rPr>
      </w:pPr>
      <w:r>
        <w:rPr>
          <w:b/>
          <w:i/>
          <w:sz w:val="22"/>
        </w:rPr>
        <w:t>FIG 8   Batch Cohort Risk Decile Distribution &amp; Concentration Donut</w:t>
      </w:r>
      <w:r>
        <w:rPr>
          <w:b/>
          <w:i/>
          <w:sz w:val="22"/>
        </w:rPr>
        <w:tab/>
        <w:t>24</w:t>
      </w:r>
    </w:p>
    <w:p>
      <w:pPr>
        <w:tabs>
          <w:tab w:val="right" w:leader="dot" w:pos="9760"/>
        </w:tabs>
        <w:spacing w:before="120" w:after="40" w:line="320" w:lineRule="auto"/>
        <w:ind w:left="360"/>
        <w:rPr>
          <w:b/>
          <w:i/>
          <w:sz w:val="22"/>
        </w:rPr>
      </w:pPr>
      <w:r>
        <w:rPr>
          <w:b/>
          <w:i/>
          <w:sz w:val="22"/>
        </w:rPr>
        <w:t>FIG 9   Portfolio Revenue at Risk 4-Quadrant Scatter Matrix</w:t>
      </w:r>
      <w:r>
        <w:rPr>
          <w:b/>
          <w:i/>
          <w:sz w:val="22"/>
        </w:rPr>
        <w:tab/>
        <w:t>24</w:t>
      </w:r>
    </w:p>
    <w:p>
      <w:pPr>
        <w:tabs>
          <w:tab w:val="right" w:leader="dot" w:pos="9760"/>
        </w:tabs>
        <w:spacing w:before="120" w:after="40" w:line="320" w:lineRule="auto"/>
        <w:ind w:left="360"/>
        <w:rPr>
          <w:b/>
          <w:i/>
          <w:sz w:val="22"/>
        </w:rPr>
      </w:pPr>
      <w:r>
        <w:rPr>
          <w:b/>
          <w:i/>
          <w:sz w:val="22"/>
        </w:rPr>
        <w:t>FIG 10  Segment Risk Drivers &amp; Retention Opportunity Analysis</w:t>
      </w:r>
      <w:r>
        <w:rPr>
          <w:b/>
          <w:i/>
          <w:sz w:val="22"/>
        </w:rPr>
        <w:tab/>
        <w:t>25</w:t>
      </w:r>
    </w:p>
    <w:p>
      <w:pPr>
        <w:tabs>
          <w:tab w:val="right" w:leader="dot" w:pos="9760"/>
        </w:tabs>
        <w:spacing w:before="120" w:after="40" w:line="320" w:lineRule="auto"/>
        <w:ind w:left="360"/>
        <w:rPr>
          <w:b/>
          <w:i/>
          <w:sz w:val="22"/>
        </w:rPr>
      </w:pPr>
      <w:r>
        <w:rPr>
          <w:b/>
          <w:i/>
          <w:sz w:val="22"/>
        </w:rPr>
        <w:t>FIG 11  In-App AI Retention Strategist Chatbot Interface</w:t>
      </w:r>
      <w:r>
        <w:rPr>
          <w:b/>
          <w:i/>
          <w:sz w:val="22"/>
        </w:rPr>
        <w:tab/>
        <w:t>26</w:t>
      </w:r>
    </w:p>
    <w:p>
      <w:pPr>
        <w:tabs>
          <w:tab w:val="right" w:leader="dot" w:pos="9760"/>
        </w:tabs>
        <w:spacing w:before="120" w:after="40" w:line="320" w:lineRule="auto"/>
        <w:ind w:left="360"/>
        <w:rPr>
          <w:b/>
          <w:i/>
          <w:sz w:val="22"/>
        </w:rPr>
      </w:pPr>
      <w:r>
        <w:rPr>
          <w:b/>
          <w:i/>
          <w:sz w:val="22"/>
        </w:rPr>
        <w:t>FIG 12  AI Chatbot Technical XGBoost Pipeline Explanation</w:t>
      </w:r>
      <w:r>
        <w:rPr>
          <w:b/>
          <w:i/>
          <w:sz w:val="22"/>
        </w:rPr>
        <w:tab/>
        <w:t>26</w:t>
      </w:r>
    </w:p>
    <w:p>
      <w:pPr>
        <w:tabs>
          <w:tab w:val="right" w:leader="dot" w:pos="9760"/>
        </w:tabs>
        <w:spacing w:before="120" w:after="40" w:line="320" w:lineRule="auto"/>
        <w:ind w:left="360"/>
        <w:rPr>
          <w:b/>
          <w:i/>
          <w:sz w:val="22"/>
        </w:rPr>
        <w:sectPr w:rsidR="00182C15">
          <w:pgSz w:w="11920" w:h="16850"/>
          <w:pgMar w:top="180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r>
        <w:rPr>
          <w:b/>
          <w:i/>
          <w:sz w:val="22"/>
        </w:rPr>
        <w:t>FIG 13  AI Chatbot Prescriptive Customer Retention Plan</w:t>
      </w:r>
      <w:r>
        <w:rPr>
          <w:b/>
          <w:i/>
          <w:sz w:val="22"/>
        </w:rPr>
        <w:tab/>
        <w:t>27</w:t>
      </w:r>
    </w:p>
    <w:sdt>
      <w:sdtPr>
        <w:rPr>
          <w:b/>
          <w:bCs/>
          <w:i/>
          <w:iCs/>
          <w:sz w:val="24"/>
          <w:szCs w:val="24"/>
        </w:rPr>
        <w:id w:val="868339558"/>
        <w:docPartObj>
          <w:docPartGallery w:val="Table of Contents"/>
          <w:docPartUnique/>
        </w:docPartObj>
      </w:sdtPr>
      <w:sdtEndPr>
        <w:rPr>
          <w:b w:val="0"/>
          <w:bCs w:val="0"/>
        </w:rPr>
      </w:sdtEndPr>
      <w:sdtContent>
        <w:p>
          <w:pPr>
            <w:keepLines/>
            <w:spacing w:after="360" w:line="360" w:lineRule="auto"/>
          </w:pPr>
          <w:r>
            <w:rPr>
              <w:b/>
              <w:sz w:val="28"/>
            </w:rPr>
            <w:t>TABLE OF CONTENTS</w:t>
          </w:r>
        </w:p>
        <w:p>
          <w:pPr>
            <w:keepLines/>
            <w:tabs>
              <w:tab w:val="right" w:leader="dot" w:pos="9720"/>
            </w:tabs>
            <w:spacing w:before="0" w:after="20" w:line="320" w:lineRule="auto"/>
          </w:pPr>
          <w:r>
            <w:rPr>
              <w:sz w:val="22"/>
            </w:rPr>
            <w:t xml:space="preserve">1.  Declaration</w:t>
          </w:r>
          <w:r>
            <w:rPr>
              <w:sz w:val="22"/>
            </w:rPr>
            <w:tab/>
            <w:t>i</w:t>
          </w:r>
        </w:p>
        <w:p>
          <w:pPr>
            <w:keepLines/>
            <w:tabs>
              <w:tab w:val="right" w:leader="dot" w:pos="9720"/>
            </w:tabs>
            <w:spacing w:before="0" w:after="20" w:line="320" w:lineRule="auto"/>
          </w:pPr>
          <w:r>
            <w:rPr>
              <w:sz w:val="22"/>
            </w:rPr>
            <w:t xml:space="preserve">2.  Certificate</w:t>
          </w:r>
          <w:r>
            <w:rPr>
              <w:sz w:val="22"/>
            </w:rPr>
            <w:tab/>
            <w:t>ii</w:t>
          </w:r>
        </w:p>
        <w:p>
          <w:pPr>
            <w:keepLines/>
            <w:tabs>
              <w:tab w:val="right" w:leader="dot" w:pos="9720"/>
            </w:tabs>
            <w:spacing w:before="0" w:after="20" w:line="320" w:lineRule="auto"/>
          </w:pPr>
          <w:r>
            <w:rPr>
              <w:sz w:val="22"/>
            </w:rPr>
            <w:t xml:space="preserve">3.  Abstract</w:t>
          </w:r>
          <w:r>
            <w:rPr>
              <w:sz w:val="22"/>
            </w:rPr>
            <w:tab/>
            <w:t>iii</w:t>
          </w:r>
        </w:p>
        <w:p>
          <w:pPr>
            <w:keepLines/>
            <w:tabs>
              <w:tab w:val="right" w:leader="dot" w:pos="9720"/>
            </w:tabs>
            <w:spacing w:before="0" w:after="20" w:line="320" w:lineRule="auto"/>
          </w:pPr>
          <w:r>
            <w:rPr>
              <w:sz w:val="22"/>
            </w:rPr>
            <w:t xml:space="preserve">4.  List of Figures</w:t>
          </w:r>
          <w:r>
            <w:rPr>
              <w:sz w:val="22"/>
            </w:rPr>
            <w:tab/>
            <w:t>iv</w:t>
          </w:r>
        </w:p>
        <w:p>
          <w:pPr>
            <w:keepLines/>
            <w:tabs>
              <w:tab w:val="right" w:leader="dot" w:pos="9720"/>
            </w:tabs>
            <w:spacing w:before="100" w:after="30" w:line="320" w:lineRule="auto"/>
          </w:pPr>
          <w:r>
            <w:rPr>
              <w:i/>
              <w:sz w:val="22"/>
            </w:rPr>
            <w:t xml:space="preserve">Chapter 1: Introduction</w:t>
          </w:r>
          <w:r>
            <w:rPr>
              <w:i/>
              <w:sz w:val="22"/>
            </w:rPr>
            <w:tab/>
            <w:t>1</w:t>
          </w:r>
        </w:p>
        <w:p>
          <w:pPr>
            <w:keepLines/>
            <w:tabs>
              <w:tab w:val="right" w:leader="dot" w:pos="9720"/>
            </w:tabs>
            <w:spacing w:before="0" w:after="20" w:line="320" w:lineRule="auto"/>
          </w:pPr>
          <w:r>
            <w:rPr>
              <w:i/>
              <w:sz w:val="22"/>
            </w:rPr>
            <w:t xml:space="preserve">1.1 Project Overview</w:t>
          </w:r>
          <w:r>
            <w:rPr>
              <w:i/>
              <w:sz w:val="22"/>
            </w:rPr>
            <w:tab/>
            <w:t>1</w:t>
          </w:r>
        </w:p>
        <w:p>
          <w:pPr>
            <w:keepLines/>
            <w:tabs>
              <w:tab w:val="right" w:leader="dot" w:pos="9720"/>
            </w:tabs>
            <w:spacing w:before="0" w:after="20" w:line="320" w:lineRule="auto"/>
          </w:pPr>
          <w:r>
            <w:rPr>
              <w:i/>
              <w:sz w:val="22"/>
            </w:rPr>
            <w:t xml:space="preserve">1.2 Project Background</w:t>
          </w:r>
          <w:r>
            <w:rPr>
              <w:i/>
              <w:sz w:val="22"/>
            </w:rPr>
            <w:tab/>
            <w:t>2</w:t>
          </w:r>
        </w:p>
        <w:p>
          <w:pPr>
            <w:keepLines/>
            <w:tabs>
              <w:tab w:val="right" w:leader="dot" w:pos="9720"/>
            </w:tabs>
            <w:spacing w:before="0" w:after="20" w:line="320" w:lineRule="auto"/>
          </w:pPr>
          <w:r>
            <w:rPr>
              <w:i/>
              <w:sz w:val="22"/>
            </w:rPr>
            <w:t xml:space="preserve">1.3 Project Objectives</w:t>
          </w:r>
          <w:r>
            <w:rPr>
              <w:i/>
              <w:sz w:val="22"/>
            </w:rPr>
            <w:tab/>
            <w:t>3</w:t>
          </w:r>
        </w:p>
        <w:p>
          <w:pPr>
            <w:keepLines/>
            <w:tabs>
              <w:tab w:val="right" w:leader="dot" w:pos="9720"/>
            </w:tabs>
            <w:spacing w:before="0" w:after="15" w:line="320" w:lineRule="auto"/>
          </w:pPr>
          <w:r>
            <w:rPr>
              <w:i/>
              <w:sz w:val="22"/>
            </w:rPr>
            <w:t xml:space="preserve">                1.3.1 Technical &amp; Architectural Objectives</w:t>
          </w:r>
          <w:r>
            <w:rPr>
              <w:i/>
              <w:sz w:val="22"/>
            </w:rPr>
            <w:tab/>
            <w:t>3</w:t>
          </w:r>
        </w:p>
        <w:p>
          <w:pPr>
            <w:keepLines/>
            <w:tabs>
              <w:tab w:val="right" w:leader="dot" w:pos="9720"/>
            </w:tabs>
            <w:spacing w:before="0" w:after="15" w:line="320" w:lineRule="auto"/>
          </w:pPr>
          <w:r>
            <w:rPr>
              <w:i/>
              <w:sz w:val="22"/>
            </w:rPr>
            <w:t xml:space="preserve">                1.3.2 Functional &amp; Business Objectives</w:t>
          </w:r>
          <w:r>
            <w:rPr>
              <w:i/>
              <w:sz w:val="22"/>
            </w:rPr>
            <w:tab/>
            <w:t>3</w:t>
          </w:r>
        </w:p>
        <w:p>
          <w:pPr>
            <w:keepLines/>
            <w:tabs>
              <w:tab w:val="right" w:leader="dot" w:pos="9720"/>
            </w:tabs>
            <w:spacing w:before="0" w:after="15" w:line="320" w:lineRule="auto"/>
          </w:pPr>
          <w:r>
            <w:rPr>
              <w:i/>
              <w:sz w:val="22"/>
            </w:rPr>
            <w:t xml:space="preserve">                1.3.3 UI/UX &amp; Design Objectives</w:t>
          </w:r>
          <w:r>
            <w:rPr>
              <w:i/>
              <w:sz w:val="22"/>
            </w:rPr>
            <w:tab/>
            <w:t>4</w:t>
          </w:r>
        </w:p>
        <w:p>
          <w:pPr>
            <w:keepLines/>
            <w:tabs>
              <w:tab w:val="right" w:leader="dot" w:pos="9720"/>
            </w:tabs>
            <w:spacing w:before="100" w:after="30" w:line="320" w:lineRule="auto"/>
          </w:pPr>
          <w:r>
            <w:rPr>
              <w:i/>
              <w:sz w:val="22"/>
            </w:rPr>
            <w:t xml:space="preserve">Chapter 2: Techniques and Technology Used</w:t>
          </w:r>
          <w:r>
            <w:rPr>
              <w:i/>
              <w:sz w:val="22"/>
            </w:rPr>
            <w:tab/>
            <w:t>5</w:t>
          </w:r>
        </w:p>
        <w:p>
          <w:pPr>
            <w:keepLines/>
            <w:tabs>
              <w:tab w:val="right" w:leader="dot" w:pos="9720"/>
            </w:tabs>
            <w:spacing w:before="0" w:after="20" w:line="320" w:lineRule="auto"/>
          </w:pPr>
          <w:r>
            <w:rPr>
              <w:i/>
              <w:sz w:val="22"/>
            </w:rPr>
            <w:t xml:space="preserve">2.1 HTML5 &amp; CSS3</w:t>
          </w:r>
          <w:r>
            <w:rPr>
              <w:i/>
              <w:sz w:val="22"/>
            </w:rPr>
            <w:tab/>
            <w:t>5</w:t>
          </w:r>
        </w:p>
        <w:p>
          <w:pPr>
            <w:keepLines/>
            <w:tabs>
              <w:tab w:val="right" w:leader="dot" w:pos="9720"/>
            </w:tabs>
            <w:spacing w:before="0" w:after="20" w:line="320" w:lineRule="auto"/>
          </w:pPr>
          <w:r>
            <w:rPr>
              <w:i/>
              <w:sz w:val="22"/>
            </w:rPr>
            <w:t xml:space="preserve">2.2 JavaScript (ES6+)</w:t>
          </w:r>
          <w:r>
            <w:rPr>
              <w:i/>
              <w:sz w:val="22"/>
            </w:rPr>
            <w:tab/>
            <w:t>5</w:t>
          </w:r>
        </w:p>
        <w:p>
          <w:pPr>
            <w:keepLines/>
            <w:tabs>
              <w:tab w:val="right" w:leader="dot" w:pos="9720"/>
            </w:tabs>
            <w:spacing w:before="0" w:after="20" w:line="320" w:lineRule="auto"/>
          </w:pPr>
          <w:r>
            <w:rPr>
              <w:i/>
              <w:sz w:val="22"/>
            </w:rPr>
            <w:t xml:space="preserve">2.3 OGL (WebGL Framework)</w:t>
          </w:r>
          <w:r>
            <w:rPr>
              <w:i/>
              <w:sz w:val="22"/>
            </w:rPr>
            <w:tab/>
            <w:t>6</w:t>
          </w:r>
        </w:p>
        <w:p>
          <w:pPr>
            <w:keepLines/>
            <w:tabs>
              <w:tab w:val="right" w:leader="dot" w:pos="9720"/>
            </w:tabs>
            <w:spacing w:before="0" w:after="20" w:line="320" w:lineRule="auto"/>
          </w:pPr>
          <w:r>
            <w:rPr>
              <w:i/>
              <w:sz w:val="22"/>
            </w:rPr>
            <w:t xml:space="preserve">2.4 Supervised Learning Models (XGBoost)</w:t>
          </w:r>
          <w:r>
            <w:rPr>
              <w:i/>
              <w:sz w:val="22"/>
            </w:rPr>
            <w:tab/>
            <w:t>6</w:t>
          </w:r>
        </w:p>
        <w:p>
          <w:pPr>
            <w:keepLines/>
            <w:tabs>
              <w:tab w:val="right" w:leader="dot" w:pos="9720"/>
            </w:tabs>
            <w:spacing w:before="0" w:after="20" w:line="320" w:lineRule="auto"/>
          </w:pPr>
          <w:r>
            <w:rPr>
              <w:i/>
              <w:sz w:val="22"/>
            </w:rPr>
            <w:t xml:space="preserve">2.5 m2cgen (Model to Code Generator)</w:t>
          </w:r>
          <w:r>
            <w:rPr>
              <w:i/>
              <w:sz w:val="22"/>
            </w:rPr>
            <w:tab/>
            <w:t>7</w:t>
          </w:r>
        </w:p>
        <w:p>
          <w:pPr>
            <w:keepLines/>
            <w:tabs>
              <w:tab w:val="right" w:leader="dot" w:pos="9720"/>
            </w:tabs>
            <w:spacing w:before="0" w:after="20" w:line="320" w:lineRule="auto"/>
          </w:pPr>
          <w:r>
            <w:rPr>
              <w:i/>
              <w:sz w:val="22"/>
            </w:rPr>
            <w:t xml:space="preserve">2.6 Deployment Tools</w:t>
          </w:r>
          <w:r>
            <w:rPr>
              <w:i/>
              <w:sz w:val="22"/>
            </w:rPr>
            <w:tab/>
            <w:t>8</w:t>
          </w:r>
        </w:p>
        <w:p>
          <w:pPr>
            <w:keepLines/>
            <w:tabs>
              <w:tab w:val="right" w:leader="dot" w:pos="9720"/>
            </w:tabs>
            <w:spacing w:before="100" w:after="30" w:line="320" w:lineRule="auto"/>
          </w:pPr>
          <w:r>
            <w:rPr>
              <w:i/>
              <w:sz w:val="22"/>
            </w:rPr>
            <w:t xml:space="preserve">Chapter 3: Methodology</w:t>
          </w:r>
          <w:r>
            <w:rPr>
              <w:i/>
              <w:sz w:val="22"/>
            </w:rPr>
            <w:tab/>
            <w:t>9</w:t>
          </w:r>
        </w:p>
        <w:p>
          <w:pPr>
            <w:keepLines/>
            <w:tabs>
              <w:tab w:val="right" w:leader="dot" w:pos="9720"/>
            </w:tabs>
            <w:spacing w:before="0" w:after="20" w:line="320" w:lineRule="auto"/>
          </w:pPr>
          <w:r>
            <w:rPr>
              <w:i/>
              <w:sz w:val="22"/>
            </w:rPr>
            <w:t xml:space="preserve">3.1 Requirement Analysis</w:t>
          </w:r>
          <w:r>
            <w:rPr>
              <w:i/>
              <w:sz w:val="22"/>
            </w:rPr>
            <w:tab/>
            <w:t>9</w:t>
          </w:r>
        </w:p>
        <w:p>
          <w:pPr>
            <w:keepLines/>
            <w:tabs>
              <w:tab w:val="right" w:leader="dot" w:pos="9720"/>
            </w:tabs>
            <w:spacing w:before="0" w:after="15" w:line="320" w:lineRule="auto"/>
          </w:pPr>
          <w:r>
            <w:rPr>
              <w:i/>
              <w:sz w:val="22"/>
            </w:rPr>
            <w:t xml:space="preserve">                3.1.1 Functional Requirements</w:t>
          </w:r>
          <w:r>
            <w:rPr>
              <w:i/>
              <w:sz w:val="22"/>
            </w:rPr>
            <w:tab/>
            <w:t>9</w:t>
          </w:r>
        </w:p>
        <w:p>
          <w:pPr>
            <w:keepLines/>
            <w:tabs>
              <w:tab w:val="right" w:leader="dot" w:pos="9720"/>
            </w:tabs>
            <w:spacing w:before="0" w:after="15" w:line="320" w:lineRule="auto"/>
          </w:pPr>
          <w:r>
            <w:rPr>
              <w:i/>
              <w:sz w:val="22"/>
            </w:rPr>
            <w:t xml:space="preserve">                3.1.2 Non-Functional Requirements</w:t>
          </w:r>
          <w:r>
            <w:rPr>
              <w:i/>
              <w:sz w:val="22"/>
            </w:rPr>
            <w:tab/>
            <w:t>9</w:t>
          </w:r>
        </w:p>
        <w:p>
          <w:pPr>
            <w:keepLines/>
            <w:tabs>
              <w:tab w:val="right" w:leader="dot" w:pos="9720"/>
            </w:tabs>
            <w:spacing w:before="0" w:after="20" w:line="320" w:lineRule="auto"/>
          </w:pPr>
          <w:r>
            <w:rPr>
              <w:i/>
              <w:sz w:val="22"/>
            </w:rPr>
            <w:t xml:space="preserve">3.2 System Design &amp; Architecture</w:t>
          </w:r>
          <w:r>
            <w:rPr>
              <w:i/>
              <w:sz w:val="22"/>
            </w:rPr>
            <w:tab/>
            <w:t>9</w:t>
          </w:r>
        </w:p>
        <w:p>
          <w:pPr>
            <w:keepLines/>
            <w:tabs>
              <w:tab w:val="right" w:leader="dot" w:pos="9720"/>
            </w:tabs>
            <w:spacing w:before="0" w:after="20" w:line="320" w:lineRule="auto"/>
          </w:pPr>
          <w:r>
            <w:rPr>
              <w:i/>
              <w:sz w:val="22"/>
            </w:rPr>
            <w:t xml:space="preserve">3.3 Frontend Development</w:t>
          </w:r>
          <w:r>
            <w:rPr>
              <w:i/>
              <w:sz w:val="22"/>
            </w:rPr>
            <w:tab/>
            <w:t>11</w:t>
          </w:r>
        </w:p>
        <w:p>
          <w:pPr>
            <w:keepLines/>
            <w:tabs>
              <w:tab w:val="right" w:leader="dot" w:pos="9720"/>
            </w:tabs>
            <w:spacing w:before="0" w:after="20" w:line="320" w:lineRule="auto"/>
          </w:pPr>
          <w:r>
            <w:rPr>
              <w:i/>
              <w:sz w:val="22"/>
            </w:rPr>
            <w:t xml:space="preserve">3.4 Machine Learning Methodology &amp; Integration</w:t>
          </w:r>
          <w:r>
            <w:rPr>
              <w:i/>
              <w:sz w:val="22"/>
            </w:rPr>
            <w:tab/>
            <w:t>11</w:t>
          </w:r>
        </w:p>
        <w:p>
          <w:pPr>
            <w:keepLines/>
            <w:tabs>
              <w:tab w:val="right" w:leader="dot" w:pos="9720"/>
            </w:tabs>
            <w:spacing w:before="0" w:after="15" w:line="320" w:lineRule="auto"/>
          </w:pPr>
          <w:r>
            <w:rPr>
              <w:i/>
              <w:sz w:val="22"/>
            </w:rPr>
            <w:t xml:space="preserve">                3.4.1 Data Collection &amp; Cleaning</w:t>
          </w:r>
          <w:r>
            <w:rPr>
              <w:i/>
              <w:sz w:val="22"/>
            </w:rPr>
            <w:tab/>
            <w:t>11</w:t>
          </w:r>
        </w:p>
        <w:p>
          <w:pPr>
            <w:keepLines/>
            <w:tabs>
              <w:tab w:val="right" w:leader="dot" w:pos="9720"/>
            </w:tabs>
            <w:spacing w:before="0" w:after="15" w:line="320" w:lineRule="auto"/>
          </w:pPr>
          <w:r>
            <w:rPr>
              <w:i/>
              <w:sz w:val="22"/>
            </w:rPr>
            <w:t xml:space="preserve">                3.4.2 Model Evaluation &amp; Selection (LR, RF, XGBoost)</w:t>
          </w:r>
          <w:r>
            <w:rPr>
              <w:i/>
              <w:sz w:val="22"/>
            </w:rPr>
            <w:tab/>
            <w:t>14</w:t>
          </w:r>
        </w:p>
        <w:p>
          <w:pPr>
            <w:keepLines/>
            <w:tabs>
              <w:tab w:val="right" w:leader="dot" w:pos="9720"/>
            </w:tabs>
            <w:spacing w:before="0" w:after="15" w:line="320" w:lineRule="auto"/>
          </w:pPr>
          <w:r>
            <w:rPr>
              <w:i/>
              <w:sz w:val="22"/>
            </w:rPr>
            <w:t xml:space="preserve">                3.4.3 Feature Engineering &amp; Transpilation</w:t>
          </w:r>
          <w:r>
            <w:rPr>
              <w:i/>
              <w:sz w:val="22"/>
            </w:rPr>
            <w:tab/>
            <w:t>11</w:t>
          </w:r>
        </w:p>
        <w:p>
          <w:pPr>
            <w:keepLines/>
            <w:tabs>
              <w:tab w:val="right" w:leader="dot" w:pos="9720"/>
            </w:tabs>
            <w:spacing w:before="0" w:after="15" w:line="320" w:lineRule="auto"/>
          </w:pPr>
          <w:r>
            <w:rPr>
              <w:i/>
              <w:sz w:val="22"/>
            </w:rPr>
            <w:t xml:space="preserve">                3.4.4 Mathematical Formulation of XAI Suite</w:t>
          </w:r>
          <w:r>
            <w:rPr>
              <w:i/>
              <w:sz w:val="22"/>
            </w:rPr>
            <w:tab/>
            <w:t>15</w:t>
          </w:r>
        </w:p>
        <w:p>
          <w:pPr>
            <w:keepLines/>
            <w:tabs>
              <w:tab w:val="right" w:leader="dot" w:pos="9720"/>
            </w:tabs>
            <w:spacing w:before="0" w:after="20" w:line="320" w:lineRule="auto"/>
          </w:pPr>
          <w:r>
            <w:rPr>
              <w:i/>
              <w:sz w:val="22"/>
            </w:rPr>
            <w:t xml:space="preserve">3.5 Testing and Validation</w:t>
          </w:r>
          <w:r>
            <w:rPr>
              <w:i/>
              <w:sz w:val="22"/>
            </w:rPr>
            <w:tab/>
            <w:t>15</w:t>
          </w:r>
        </w:p>
        <w:p>
          <w:pPr>
            <w:keepLines/>
            <w:pageBreakBefore/>
            <w:tabs>
              <w:tab w:val="right" w:leader="dot" w:pos="9720"/>
            </w:tabs>
            <w:spacing w:before="100" w:after="30" w:line="320" w:lineRule="auto"/>
          </w:pPr>
          <w:r>
            <w:rPr>
              <w:i/>
              <w:sz w:val="22"/>
            </w:rPr>
            <w:t xml:space="preserve">Chapter 4: Implementation</w:t>
          </w:r>
          <w:r>
            <w:rPr>
              <w:i/>
              <w:sz w:val="22"/>
            </w:rPr>
            <w:tab/>
            <w:t>17</w:t>
          </w:r>
        </w:p>
        <w:p>
          <w:pPr>
            <w:keepLines/>
            <w:tabs>
              <w:tab w:val="right" w:leader="dot" w:pos="9720"/>
            </w:tabs>
            <w:spacing w:before="0" w:after="20" w:line="320" w:lineRule="auto"/>
          </w:pPr>
          <w:r>
            <w:rPr>
              <w:i/>
              <w:sz w:val="22"/>
            </w:rPr>
            <w:t xml:space="preserve">4.1 Frontend Development</w:t>
          </w:r>
          <w:r>
            <w:rPr>
              <w:i/>
              <w:sz w:val="22"/>
            </w:rPr>
            <w:tab/>
            <w:t>17</w:t>
          </w:r>
        </w:p>
        <w:p>
          <w:pPr>
            <w:keepLines/>
            <w:tabs>
              <w:tab w:val="right" w:leader="dot" w:pos="9720"/>
            </w:tabs>
            <w:spacing w:before="0" w:after="15" w:line="320" w:lineRule="auto"/>
          </w:pPr>
          <w:r>
            <w:rPr>
              <w:i/>
              <w:sz w:val="22"/>
            </w:rPr>
            <w:t xml:space="preserve">                4.1.1 HTML Structure &amp; Semantic Layout</w:t>
          </w:r>
          <w:r>
            <w:rPr>
              <w:i/>
              <w:sz w:val="22"/>
            </w:rPr>
            <w:tab/>
            <w:t>17</w:t>
          </w:r>
        </w:p>
        <w:p>
          <w:pPr>
            <w:keepLines/>
            <w:tabs>
              <w:tab w:val="right" w:leader="dot" w:pos="9720"/>
            </w:tabs>
            <w:spacing w:before="0" w:after="15" w:line="320" w:lineRule="auto"/>
          </w:pPr>
          <w:r>
            <w:rPr>
              <w:i/>
              <w:sz w:val="22"/>
            </w:rPr>
            <w:t xml:space="preserve">                4.1.2 CSS3 Glassmorphism &amp; Specular Hover Engine</w:t>
          </w:r>
          <w:r>
            <w:rPr>
              <w:i/>
              <w:sz w:val="22"/>
            </w:rPr>
            <w:tab/>
            <w:t>17</w:t>
          </w:r>
        </w:p>
        <w:p>
          <w:pPr>
            <w:keepLines/>
            <w:tabs>
              <w:tab w:val="right" w:leader="dot" w:pos="9720"/>
            </w:tabs>
            <w:spacing w:before="0" w:after="15" w:line="320" w:lineRule="auto"/>
          </w:pPr>
          <w:r>
            <w:rPr>
              <w:i/>
              <w:sz w:val="22"/>
            </w:rPr>
            <w:t xml:space="preserve">                4.1.3 JavaScript DOM Manipulation &amp; State Management</w:t>
          </w:r>
          <w:r>
            <w:rPr>
              <w:i/>
              <w:sz w:val="22"/>
            </w:rPr>
            <w:tab/>
            <w:t>17</w:t>
          </w:r>
        </w:p>
        <w:p>
          <w:pPr>
            <w:keepLines/>
            <w:tabs>
              <w:tab w:val="right" w:leader="dot" w:pos="9720"/>
            </w:tabs>
            <w:spacing w:before="0" w:after="20" w:line="320" w:lineRule="auto"/>
          </w:pPr>
          <w:r>
            <w:rPr>
              <w:i/>
              <w:sz w:val="22"/>
            </w:rPr>
            <w:t xml:space="preserve">4.2 WebGL Integration (OGL 3D Title)</w:t>
          </w:r>
          <w:r>
            <w:rPr>
              <w:i/>
              <w:sz w:val="22"/>
            </w:rPr>
            <w:tab/>
            <w:t>18</w:t>
          </w:r>
        </w:p>
        <w:p>
          <w:pPr>
            <w:keepLines/>
            <w:tabs>
              <w:tab w:val="right" w:leader="dot" w:pos="9720"/>
            </w:tabs>
            <w:spacing w:before="0" w:after="20" w:line="320" w:lineRule="auto"/>
          </w:pPr>
          <w:r>
            <w:rPr>
              <w:i/>
              <w:sz w:val="22"/>
            </w:rPr>
            <w:t xml:space="preserve">4.3 Machine Learning Integration (Client-Side)</w:t>
          </w:r>
          <w:r>
            <w:rPr>
              <w:i/>
              <w:sz w:val="22"/>
            </w:rPr>
            <w:tab/>
            <w:t>18</w:t>
          </w:r>
        </w:p>
        <w:p>
          <w:pPr>
            <w:keepLines/>
            <w:tabs>
              <w:tab w:val="right" w:leader="dot" w:pos="9720"/>
            </w:tabs>
            <w:spacing w:before="0" w:after="15" w:line="320" w:lineRule="auto"/>
          </w:pPr>
          <w:r>
            <w:rPr>
              <w:i/>
              <w:sz w:val="22"/>
            </w:rPr>
            <w:t xml:space="preserve">                4.3.1 Data Capture &amp; Feature Array Construction</w:t>
          </w:r>
          <w:r>
            <w:rPr>
              <w:i/>
              <w:sz w:val="22"/>
            </w:rPr>
            <w:tab/>
            <w:t>18</w:t>
          </w:r>
        </w:p>
        <w:p>
          <w:pPr>
            <w:keepLines/>
            <w:tabs>
              <w:tab w:val="right" w:leader="dot" w:pos="9720"/>
            </w:tabs>
            <w:spacing w:before="0" w:after="15" w:line="320" w:lineRule="auto"/>
          </w:pPr>
          <w:r>
            <w:rPr>
              <w:i/>
              <w:sz w:val="22"/>
            </w:rPr>
            <w:t xml:space="preserve">                4.3.2 Model Execution &amp; Sigmoid Conversion</w:t>
          </w:r>
          <w:r>
            <w:rPr>
              <w:i/>
              <w:sz w:val="22"/>
            </w:rPr>
            <w:tab/>
            <w:t>19</w:t>
          </w:r>
        </w:p>
        <w:p>
          <w:pPr>
            <w:keepLines/>
            <w:tabs>
              <w:tab w:val="right" w:leader="dot" w:pos="9720"/>
            </w:tabs>
            <w:spacing w:before="0" w:after="20" w:line="320" w:lineRule="auto"/>
          </w:pPr>
          <w:r>
            <w:rPr>
              <w:i/>
              <w:sz w:val="22"/>
            </w:rPr>
            <w:t xml:space="preserve">4.4 Dashboard and Analytics Generation</w:t>
          </w:r>
          <w:r>
            <w:rPr>
              <w:i/>
              <w:sz w:val="22"/>
            </w:rPr>
            <w:tab/>
            <w:t>21</w:t>
          </w:r>
        </w:p>
        <w:p>
          <w:pPr>
            <w:keepLines/>
            <w:tabs>
              <w:tab w:val="right" w:leader="dot" w:pos="9720"/>
            </w:tabs>
            <w:spacing w:before="0" w:after="15" w:line="320" w:lineRule="auto"/>
          </w:pPr>
          <w:r>
            <w:rPr>
              <w:i/>
              <w:sz w:val="22"/>
            </w:rPr>
            <w:t xml:space="preserve">                4.4.1 Dynamic Feature-Impact Bar Chart</w:t>
          </w:r>
          <w:r>
            <w:rPr>
              <w:i/>
              <w:sz w:val="22"/>
            </w:rPr>
            <w:tab/>
            <w:t>21</w:t>
          </w:r>
        </w:p>
        <w:p>
          <w:pPr>
            <w:keepLines/>
            <w:tabs>
              <w:tab w:val="right" w:leader="dot" w:pos="9720"/>
            </w:tabs>
            <w:spacing w:before="0" w:after="15" w:line="320" w:lineRule="auto"/>
          </w:pPr>
          <w:r>
            <w:rPr>
              <w:i/>
              <w:sz w:val="22"/>
            </w:rPr>
            <w:t xml:space="preserve">                4.4.2 Next Best Action (NBA) Recommendation Engine</w:t>
          </w:r>
          <w:r>
            <w:rPr>
              <w:i/>
              <w:sz w:val="22"/>
            </w:rPr>
            <w:tab/>
            <w:t>22</w:t>
          </w:r>
        </w:p>
        <w:p>
          <w:pPr>
            <w:keepLines/>
            <w:tabs>
              <w:tab w:val="right" w:leader="dot" w:pos="9720"/>
            </w:tabs>
            <w:spacing w:before="0" w:after="15" w:line="320" w:lineRule="auto"/>
          </w:pPr>
          <w:r>
            <w:rPr>
              <w:i/>
              <w:sz w:val="22"/>
            </w:rPr>
            <w:t xml:space="preserve">                4.4.3 Enterprise Batch Cohort Analytics</w:t>
          </w:r>
          <w:r>
            <w:rPr>
              <w:i/>
              <w:sz w:val="22"/>
            </w:rPr>
            <w:tab/>
            <w:t>23</w:t>
          </w:r>
        </w:p>
        <w:p>
          <w:pPr>
            <w:keepLines/>
            <w:tabs>
              <w:tab w:val="right" w:leader="dot" w:pos="9720"/>
            </w:tabs>
            <w:spacing w:before="0" w:after="20" w:line="320" w:lineRule="auto"/>
          </w:pPr>
          <w:r>
            <w:rPr>
              <w:i/>
              <w:sz w:val="22"/>
            </w:rPr>
            <w:t xml:space="preserve">4.5 In-App AI Retention Strategist Chatbot</w:t>
          </w:r>
          <w:r>
            <w:rPr>
              <w:i/>
              <w:sz w:val="22"/>
            </w:rPr>
            <w:tab/>
            <w:t>25</w:t>
          </w:r>
        </w:p>
        <w:p>
          <w:pPr>
            <w:keepLines/>
            <w:tabs>
              <w:tab w:val="right" w:leader="dot" w:pos="9720"/>
            </w:tabs>
            <w:spacing w:before="0" w:after="20" w:line="320" w:lineRule="auto"/>
          </w:pPr>
          <w:r>
            <w:rPr>
              <w:i/>
              <w:sz w:val="22"/>
            </w:rPr>
            <w:t xml:space="preserve">4.6 Testing and Debugging</w:t>
          </w:r>
          <w:r>
            <w:rPr>
              <w:i/>
              <w:sz w:val="22"/>
            </w:rPr>
            <w:tab/>
            <w:t>27</w:t>
          </w:r>
        </w:p>
        <w:p>
          <w:pPr>
            <w:keepLines/>
            <w:tabs>
              <w:tab w:val="right" w:leader="dot" w:pos="9720"/>
            </w:tabs>
            <w:spacing w:before="0" w:after="20" w:line="320" w:lineRule="auto"/>
          </w:pPr>
          <w:r>
            <w:rPr>
              <w:i/>
              <w:sz w:val="22"/>
            </w:rPr>
            <w:t xml:space="preserve">4.7 Deployment via Vercel</w:t>
          </w:r>
          <w:r>
            <w:rPr>
              <w:i/>
              <w:sz w:val="22"/>
            </w:rPr>
            <w:tab/>
            <w:t>27</w:t>
          </w:r>
        </w:p>
        <w:p>
          <w:pPr>
            <w:keepLines/>
            <w:tabs>
              <w:tab w:val="right" w:leader="dot" w:pos="9720"/>
            </w:tabs>
            <w:spacing w:before="100" w:after="30" w:line="320" w:lineRule="auto"/>
          </w:pPr>
          <w:r>
            <w:rPr>
              <w:i/>
              <w:sz w:val="22"/>
            </w:rPr>
            <w:t xml:space="preserve">Chapter 5: Results</w:t>
          </w:r>
          <w:r>
            <w:rPr>
              <w:i/>
              <w:sz w:val="22"/>
            </w:rPr>
            <w:tab/>
            <w:t>28</w:t>
          </w:r>
        </w:p>
        <w:p>
          <w:pPr>
            <w:keepLines/>
            <w:tabs>
              <w:tab w:val="right" w:leader="dot" w:pos="9720"/>
            </w:tabs>
            <w:spacing w:before="0" w:after="20" w:line="320" w:lineRule="auto"/>
          </w:pPr>
          <w:r>
            <w:rPr>
              <w:i/>
              <w:sz w:val="22"/>
            </w:rPr>
            <w:t xml:space="preserve">5.1 Functional Application Development</w:t>
          </w:r>
          <w:r>
            <w:rPr>
              <w:i/>
              <w:sz w:val="22"/>
            </w:rPr>
            <w:tab/>
            <w:t>28</w:t>
          </w:r>
        </w:p>
        <w:p>
          <w:pPr>
            <w:keepLines/>
            <w:tabs>
              <w:tab w:val="right" w:leader="dot" w:pos="9720"/>
            </w:tabs>
            <w:spacing w:before="0" w:after="20" w:line="320" w:lineRule="auto"/>
          </w:pPr>
          <w:r>
            <w:rPr>
              <w:i/>
              <w:sz w:val="22"/>
            </w:rPr>
            <w:t xml:space="preserve">5.2 Feature Implementation</w:t>
          </w:r>
          <w:r>
            <w:rPr>
              <w:i/>
              <w:sz w:val="22"/>
            </w:rPr>
            <w:tab/>
            <w:t>28</w:t>
          </w:r>
        </w:p>
        <w:p>
          <w:pPr>
            <w:keepLines/>
            <w:tabs>
              <w:tab w:val="right" w:leader="dot" w:pos="9720"/>
            </w:tabs>
            <w:spacing w:before="0" w:after="20" w:line="320" w:lineRule="auto"/>
          </w:pPr>
          <w:r>
            <w:rPr>
              <w:i/>
              <w:sz w:val="22"/>
            </w:rPr>
            <w:t xml:space="preserve">5.3 Consistent Design and User Experience</w:t>
          </w:r>
          <w:r>
            <w:rPr>
              <w:i/>
              <w:sz w:val="22"/>
            </w:rPr>
            <w:tab/>
            <w:t>30</w:t>
          </w:r>
        </w:p>
        <w:p>
          <w:pPr>
            <w:keepLines/>
            <w:tabs>
              <w:tab w:val="right" w:leader="dot" w:pos="9720"/>
            </w:tabs>
            <w:spacing w:before="0" w:after="20" w:line="320" w:lineRule="auto"/>
          </w:pPr>
          <w:r>
            <w:rPr>
              <w:i/>
              <w:sz w:val="22"/>
            </w:rPr>
            <w:t xml:space="preserve">5.4 Performance, Latency, and Usability</w:t>
          </w:r>
          <w:r>
            <w:rPr>
              <w:i/>
              <w:sz w:val="22"/>
            </w:rPr>
            <w:tab/>
            <w:t>30</w:t>
          </w:r>
        </w:p>
        <w:p>
          <w:pPr>
            <w:keepLines/>
            <w:tabs>
              <w:tab w:val="right" w:leader="dot" w:pos="9720"/>
            </w:tabs>
            <w:spacing w:before="0" w:after="20" w:line="320" w:lineRule="auto"/>
          </w:pPr>
          <w:r>
            <w:rPr>
              <w:i/>
              <w:sz w:val="22"/>
            </w:rPr>
            <w:t xml:space="preserve">5.5 Conclusion</w:t>
          </w:r>
          <w:r>
            <w:rPr>
              <w:i/>
              <w:sz w:val="22"/>
            </w:rPr>
            <w:tab/>
            <w:t>31</w:t>
          </w:r>
        </w:p>
        <w:p>
          <w:pPr>
            <w:keepLines/>
            <w:tabs>
              <w:tab w:val="right" w:leader="dot" w:pos="9720"/>
            </w:tabs>
            <w:spacing w:before="0" w:after="20" w:line="320" w:lineRule="auto"/>
          </w:pPr>
          <w:r>
            <w:rPr>
              <w:i/>
              <w:sz w:val="22"/>
            </w:rPr>
            <w:t xml:space="preserve">5.6 Future Scope</w:t>
          </w:r>
          <w:r>
            <w:rPr>
              <w:i/>
              <w:sz w:val="22"/>
            </w:rPr>
            <w:tab/>
            <w:t>31</w:t>
          </w:r>
        </w:p>
        <w:p>
          <w:pPr>
            <w:keepLines/>
            <w:tabs>
              <w:tab w:val="right" w:leader="dot" w:pos="9720"/>
            </w:tabs>
            <w:spacing w:before="0" w:after="15" w:line="320" w:lineRule="auto"/>
          </w:pPr>
          <w:r>
            <w:rPr>
              <w:i/>
              <w:sz w:val="22"/>
            </w:rPr>
            <w:t xml:space="preserve">                5.6.1 CRM API Integration</w:t>
          </w:r>
          <w:r>
            <w:rPr>
              <w:i/>
              <w:sz w:val="22"/>
            </w:rPr>
            <w:tab/>
            <w:t>31</w:t>
          </w:r>
        </w:p>
        <w:p>
          <w:pPr>
            <w:keepLines/>
            <w:tabs>
              <w:tab w:val="right" w:leader="dot" w:pos="9720"/>
            </w:tabs>
            <w:spacing w:before="0" w:after="15" w:line="320" w:lineRule="auto"/>
          </w:pPr>
          <w:r>
            <w:rPr>
              <w:i/>
              <w:sz w:val="22"/>
            </w:rPr>
            <w:t xml:space="preserve">                5.6.2 Automated Model Retraining Pipeline</w:t>
          </w:r>
          <w:r>
            <w:rPr>
              <w:i/>
              <w:sz w:val="22"/>
            </w:rPr>
            <w:tab/>
            <w:t>31</w:t>
          </w:r>
        </w:p>
        <w:p>
          <w:pPr>
            <w:keepLines/>
            <w:tabs>
              <w:tab w:val="right" w:leader="dot" w:pos="9720"/>
            </w:tabs>
            <w:spacing w:before="0" w:after="15" w:line="320" w:lineRule="auto"/>
          </w:pPr>
          <w:r>
            <w:rPr>
              <w:i/>
              <w:sz w:val="22"/>
            </w:rPr>
            <w:t xml:space="preserve">                5.6.3 Multi-Model Ensembling &amp; Optimization</w:t>
          </w:r>
          <w:r>
            <w:rPr>
              <w:i/>
              <w:sz w:val="22"/>
            </w:rPr>
            <w:tab/>
            <w:t>31</w:t>
          </w:r>
        </w:p>
        <w:p>
          <w:pPr>
            <w:keepLines/>
            <w:tabs>
              <w:tab w:val="right" w:leader="dot" w:pos="9720"/>
            </w:tabs>
            <w:spacing w:before="100" w:after="30" w:line="320" w:lineRule="auto"/>
          </w:pPr>
          <w:r>
            <w:rPr>
              <w:i/>
              <w:sz w:val="22"/>
            </w:rPr>
            <w:t xml:space="preserve">References</w:t>
          </w:r>
          <w:r>
            <w:rPr>
              <w:i/>
              <w:sz w:val="22"/>
            </w:rPr>
            <w:tab/>
            <w:t>32</w:t>
          </w:r>
        </w:p>
        <w:p w14:paraId="760AF9FB" w14:textId="4B954C7D" w:rsidR="00182C15" w:rsidRDefault="00B92A08" w:rsidP="00C47E91">
          <w:pPr>
            <w:pStyle w:val="TOC2"/>
            <w:tabs>
              <w:tab w:val="left" w:pos="1092"/>
              <w:tab w:val="right" w:leader="dot" w:pos="8677"/>
            </w:tabs>
            <w:spacing w:before="144"/>
            <w:ind w:left="731" w:firstLine="0"/>
            <w:sectPr w:rsidR="00182C15">
              <w:pgSz w:w="11920" w:h="16850"/>
              <w:pgMar w:top="1301" w:right="425" w:bottom="0" w:left="708" w:header="0" w:footer="1088" w:gutter="0"/>
              <w:pgBorders w:offsetFrom="page">
                <w:top w:val="single" w:sz="4" w:space="0" w:color="000000"/>
                <w:left w:val="single" w:sz="4" w:space="0" w:color="000000"/>
                <w:bottom w:val="single" w:sz="4" w:space="0" w:color="000000"/>
                <w:right w:val="single" w:sz="4" w:space="0" w:color="000000"/>
              </w:pgBorders>
              <w:cols w:space="720"/>
            </w:sectPr>
          </w:pPr>
        </w:p>
      </w:sdtContent>
    </w:sdt>
    <w:p w14:paraId="426FCAFC" w14:textId="77777777" w:rsidR="00182C15" w:rsidRDefault="00182C15" w:rsidP="00C47E91">
      <w:pPr>
        <w:rPr>
          <w:i/>
          <w:sz w:val="24"/>
        </w:rPr>
        <w:sectPr w:rsidR="00182C15">
          <w:type w:val="continuous"/>
          <w:pgSz w:w="11920" w:h="16850"/>
          <w:pgMar w:top="1300" w:right="425" w:bottom="1280" w:left="708" w:header="0" w:footer="1088" w:gutter="0"/>
          <w:cols w:space="720"/>
        </w:sectPr>
      </w:pPr>
    </w:p>
    <w:p>
      <w:pPr>
        <w:keepNext/>
        <w:pageBreakBefore/>
        <w:spacing w:before="400" w:after="240"/>
        <w:jc w:val="center"/>
      </w:pPr>
      <w:r>
        <w:rPr>
          <w:rFonts w:ascii="Times New Roman" w:hAnsi="Times New Roman"/>
          <w:b/>
          <w:color w:val="0F172A"/>
          <w:sz w:val="32"/>
        </w:rPr>
        <w:t>CHAPTER-1. INTRODUCTION</w:t>
      </w:r>
    </w:p>
    <w:p>
      <w:pPr>
        <w:keepNext/>
        <w:spacing w:before="280" w:after="120"/>
      </w:pPr>
      <w:r>
        <w:rPr>
          <w:rFonts w:ascii="Times New Roman" w:hAnsi="Times New Roman"/>
          <w:b/>
          <w:color w:val="1E293B"/>
          <w:sz w:val="26"/>
        </w:rPr>
        <w:t>1.1 PROJECT OVERVIEW</w:t>
      </w:r>
    </w:p>
    <w:p>
      <w:pPr>
        <w:spacing w:before="0" w:after="120" w:line="276" w:lineRule="auto"/>
        <w:jc w:val="both"/>
      </w:pPr>
      <w:r>
        <w:rPr>
          <w:rFonts w:ascii="Times New Roman" w:hAnsi="Times New Roman"/>
          <w:color w:val="1E293B"/>
          <w:sz w:val="23"/>
        </w:rPr>
        <w:t>Customer churn—defined as the proportion of contractual subscribers or recurring customers who terminate their relationship with a service provider within a specified time horizon—represents one of the most critical threats to profitability in modern enterprise services. In the telecommunications sector, where core connectivity has become increasingly commoditized, subscriber retention has emerged as the primary determinant of enterprise valuation. 'ChurnPred – Customer Churn Predictor' is conceived and engineered as an advanced, enterprise-grade predictive intelligence and prescriptive decision-support platform designed to forecast, analyze, and mitigate customer attrition in real time.</w:t>
      </w:r>
    </w:p>
    <w:p>
      <w:pPr>
        <w:spacing w:before="0" w:after="120" w:line="276" w:lineRule="auto"/>
        <w:jc w:val="both"/>
      </w:pPr>
      <w:r>
        <w:rPr>
          <w:rFonts w:ascii="Times New Roman" w:hAnsi="Times New Roman"/>
          <w:color w:val="1E293B"/>
          <w:sz w:val="23"/>
        </w:rPr>
        <w:t>Rather than functioning merely as a static classification tool, ChurnPred acts as an interactive digital retention copilot for customer success managers, call-center agents, and business analysts. The platform ingests 19 granular customer attributes categorized into three vital dimensions: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Demographic Profile: </w:t>
      </w:r>
      <w:r>
        <w:rPr>
          <w:rFonts w:ascii="Times New Roman" w:hAnsi="Times New Roman"/>
          <w:color w:val="374151"/>
          <w:sz w:val="23"/>
        </w:rPr>
        <w:t>Assessing baseline subscriber vulnerabilities, including gender identification, senior citizen status, marital or partner status, and household dependents, which correlate with budget sensitivity and household stability.</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Service Portfolio &amp; Ecosystem: </w:t>
      </w:r>
      <w:r>
        <w:rPr>
          <w:rFonts w:ascii="Times New Roman" w:hAnsi="Times New Roman"/>
          <w:color w:val="374151"/>
          <w:sz w:val="23"/>
        </w:rPr>
        <w:t>Mapping the depth and complexity of the subscriber's service footprint, encompassing primary telephony, multiple line routing, broadband infrastructure (DSL vs. Fiber Optic), and essential security add-ons including Online Security, Online Backup, Device Protection, Tech Support, Streaming TV, and Streaming Movies.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Contractual &amp; Financial Commitments: </w:t>
      </w:r>
      <w:r>
        <w:rPr>
          <w:rFonts w:ascii="Times New Roman" w:hAnsi="Times New Roman"/>
          <w:color w:val="374151"/>
          <w:sz w:val="23"/>
        </w:rPr>
        <w:t>Evaluating customer friction points, financial exposure, and account maturity through contract structure (month-to-month, 1-year, or 2-year commitments), paperless billing adoption, electronic vs. manual payment methods, accumulated tenure (in months), current monthly billing velocity, and cumulative lifetime charges.</w:t>
      </w:r>
    </w:p>
    <w:p>
      <w:pPr>
        <w:spacing w:before="0" w:after="120" w:line="276" w:lineRule="auto"/>
        <w:jc w:val="both"/>
      </w:pPr>
      <w:r>
        <w:rPr>
          <w:rFonts w:ascii="Times New Roman" w:hAnsi="Times New Roman"/>
          <w:color w:val="1E293B"/>
          <w:sz w:val="23"/>
        </w:rPr>
        <w:t>The technological cornerstone of ChurnPred is its serverless, client-side machine learning architecture. A production-calibrated Extreme Gradient Boosting (XGBoost) model composed of 100 sequential decision trees was trained in Python and transpiled into clean, native JavaScript using m2cgen. This enables the model to execute directly within the user's browser runtime with O(1) operational complexity, delivering instant churn probabilities (ranging continuously from 4.1% to 93.1%) in less than 0.4 milliseconds without transmitting a single byte of customer data over the internet.</w:t>
      </w:r>
    </w:p>
    <w:p>
      <w:pPr>
        <w:spacing w:before="0" w:after="120" w:line="276" w:lineRule="auto"/>
        <w:jc w:val="both"/>
      </w:pPr>
      <w:r>
        <w:rPr>
          <w:rFonts w:ascii="Times New Roman" w:hAnsi="Times New Roman"/>
          <w:color w:val="1E293B"/>
          <w:sz w:val="23"/>
        </w:rPr>
        <w:t>To deliver actionable business value, ChurnPred provides dual operational workflows: a Single Customer Deep-Dive module for real-time agent consultations, and an Enterprise Batch CSV Cohort Intelligence engine capable of processing thousands of customer records simultaneously. Furthermore, the system incorporates an In-App AI Retention Strategist Chatbot powered by Google GenAI (gemini-2.5-flash) with an offline deterministic diagnostic fallback, transforming raw probabilistic scores into personalized, policy-compliant retention countermeasures.</w:t>
      </w:r>
    </w:p>
    <w:p>
      <w:pPr>
        <w:keepNext/>
        <w:spacing w:before="280" w:after="120"/>
      </w:pPr>
      <w:r>
        <w:rPr>
          <w:rFonts w:ascii="Times New Roman" w:hAnsi="Times New Roman"/>
          <w:b/>
          <w:color w:val="1E293B"/>
          <w:sz w:val="26"/>
        </w:rPr>
        <w:t>1.2 PROJECT BACKGROUND &amp; CHURN ECONOMICS</w:t>
      </w:r>
    </w:p>
    <w:p>
      <w:pPr>
        <w:spacing w:before="0" w:after="120" w:line="276" w:lineRule="auto"/>
        <w:jc w:val="both"/>
      </w:pPr>
      <w:r>
        <w:rPr>
          <w:rFonts w:ascii="Times New Roman" w:hAnsi="Times New Roman"/>
          <w:color w:val="1E293B"/>
          <w:sz w:val="23"/>
        </w:rPr>
        <w:t>The contemporary telecommunications sector is characterized by intense price wars, low switching barriers, and saturated subscriber growth. In this market dynamic, the economics of customer retention vastly outweigh those of customer acquisition. Industry benchmarks indicate that acquiring a new telecommunications subscriber costs between $300 and $600—factoring in marketing spend, sales commissions, subsidized hardware (e.g., optical network terminals and mesh routers), and technician dispatch expenses. In contrast, deploying targeted retention incentives typically requires an investment of only $15 to $50 per customer.</w:t>
      </w:r>
    </w:p>
    <w:p>
      <w:pPr>
        <w:spacing w:before="0" w:after="120" w:line="276" w:lineRule="auto"/>
        <w:jc w:val="both"/>
      </w:pPr>
      <w:r>
        <w:rPr>
          <w:rFonts w:ascii="Times New Roman" w:hAnsi="Times New Roman"/>
          <w:color w:val="1E293B"/>
          <w:sz w:val="23"/>
        </w:rPr>
        <w:t>When an account churns prematurely—particularly within the first 6 to 12 months—the service provider fails to amortize the initial Customer Acquisition Cost (CAC), resulting in a net cash loss on the subscriber. For an operator managing 500,000 active subscriptions with an average revenue per user (ARPU) of $65 per month, a mere 1.0% reduction in monthly attrition preserves over $3.9 Million in Annual Recurring Revenue (ARR). Consequently, shifting customer care operations from reactive firefighting (offering discounts only after a cancellation request is lodged) to proactive predictive intervention is a business imperative.</w:t>
      </w:r>
    </w:p>
    <w:p>
      <w:pPr>
        <w:spacing w:before="0" w:after="120" w:line="276" w:lineRule="auto"/>
        <w:jc w:val="both"/>
      </w:pPr>
      <w:r>
        <w:rPr>
          <w:rFonts w:ascii="Times New Roman" w:hAnsi="Times New Roman"/>
          <w:color w:val="1E293B"/>
          <w:sz w:val="23"/>
        </w:rPr>
        <w:t>Despite significant enterprise investments in predictive modeling, conventional machine learning deployments suffer from critical operational and architectural vulnerabilities: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Network Latency &amp; Server Cold-Starts: </w:t>
      </w:r>
      <w:r>
        <w:rPr>
          <w:rFonts w:ascii="Times New Roman" w:hAnsi="Times New Roman"/>
          <w:color w:val="374151"/>
          <w:sz w:val="23"/>
        </w:rPr>
        <w:t>Traditional architectures expose predictive models via remote REST APIs hosted on cloud infrastructure (e.g., AWS SageMaker, FastAPI, or Flask containers). During live, high-pressure customer support calls, network hops, SSL handshakes, and container cold-starts introduce latencies of 500ms to 2000ms, creating noticeable pauses that degrade agent efficiency.</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Data Privacy &amp; Regulatory Non-Compliance: </w:t>
      </w:r>
      <w:r>
        <w:rPr>
          <w:rFonts w:ascii="Times New Roman" w:hAnsi="Times New Roman"/>
          <w:color w:val="374151"/>
          <w:sz w:val="23"/>
        </w:rPr>
        <w:t>Telecommunications customer data contains highly sensitive Personally Identifiable Information (PII) and financial transaction histories. Continuously routing individual and batch customer profiles to third-party cloud inference endpoints introduces substantial data leakage risks and violates stringent regulatory standards including the European Union General Data Protection Regulation (GDPR) and the California Consumer Privacy Act (CCPA).</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Cloud Operational Costs &amp; Scalability Limits: </w:t>
      </w:r>
      <w:r>
        <w:rPr>
          <w:rFonts w:ascii="Times New Roman" w:hAnsi="Times New Roman"/>
          <w:color w:val="374151"/>
          <w:sz w:val="23"/>
        </w:rPr>
        <w:t>Scaling centralized ML inference clusters to handle millions of queries during peak billing cycles incurs substantial recurring server costs, requiring dedicated GPU/CPU provisioning, auto-scaling groups, load balancers, and continuous telemetry monitoring.</w:t>
      </w:r>
    </w:p>
    <w:p>
      <w:pPr>
        <w:spacing w:before="0" w:after="120" w:line="276" w:lineRule="auto"/>
        <w:jc w:val="both"/>
      </w:pPr>
      <w:r>
        <w:rPr>
          <w:rFonts w:ascii="Times New Roman" w:hAnsi="Times New Roman"/>
          <w:color w:val="1E293B"/>
          <w:sz w:val="23"/>
        </w:rPr>
        <w:t>ChurnPred resolves these structural limitations through an edge-native computing paradigm. By compiling the mathematical decision trees into optimized JavaScript executed directly on the client V8 engine, ChurnPred eliminates external server dependencies for prediction, guarantees absolute data privacy through zero data egress, and achieves deterministic, sub-millisecond execution times.</w:t>
      </w:r>
    </w:p>
    <w:p>
      <w:pPr>
        <w:keepNext/>
        <w:spacing w:before="280" w:after="120"/>
      </w:pPr>
      <w:r>
        <w:rPr>
          <w:rFonts w:ascii="Times New Roman" w:hAnsi="Times New Roman"/>
          <w:b/>
          <w:color w:val="1E293B"/>
          <w:sz w:val="26"/>
        </w:rPr>
        <w:t>1.3 PROJECT OBJECTIVES</w:t>
      </w:r>
    </w:p>
    <w:p>
      <w:pPr>
        <w:spacing w:before="0" w:after="120" w:line="276" w:lineRule="auto"/>
        <w:jc w:val="both"/>
      </w:pPr>
      <w:r>
        <w:rPr>
          <w:rFonts w:ascii="Times New Roman" w:hAnsi="Times New Roman"/>
          <w:color w:val="1E293B"/>
          <w:sz w:val="23"/>
        </w:rPr>
        <w:t>The overarching objective of the ChurnPred project is to engineer an enterprise-grade, fully client-edge predictive analytics platform that bridges the gap between sophisticated machine learning theory and actionable operational practice. The specific objectives are divided into three core domains:</w:t>
      </w:r>
    </w:p>
    <w:p>
      <w:pPr>
        <w:keepNext/>
        <w:spacing w:before="200" w:after="80"/>
      </w:pPr>
      <w:r>
        <w:rPr>
          <w:rFonts w:ascii="Times New Roman" w:hAnsi="Times New Roman"/>
          <w:b/>
          <w:i/>
          <w:color w:val="334155"/>
          <w:sz w:val="23"/>
        </w:rPr>
        <w:t>1.3.1 Technical &amp; Architectural Objectives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Client-Side Edge Inference: </w:t>
      </w:r>
      <w:r>
        <w:rPr>
          <w:rFonts w:ascii="Times New Roman" w:hAnsi="Times New Roman"/>
          <w:color w:val="374151"/>
          <w:sz w:val="23"/>
        </w:rPr>
        <w:t>Eliminate cloud latency and server overhead by compiling a 100-tree XGBoost model into native JavaScript, achieving sub-millisecond (&lt;0.4ms) prediction speed and 100% offline functionality.</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Absolute Data Privacy by Design: </w:t>
      </w:r>
      <w:r>
        <w:rPr>
          <w:rFonts w:ascii="Times New Roman" w:hAnsi="Times New Roman"/>
          <w:color w:val="374151"/>
          <w:sz w:val="23"/>
        </w:rPr>
        <w:t>Ensure complete data sovereignty by executing all feature transformations, decision logic, and visual analytics locally within the user's browser sandbox, guaranteeing that sensitive customer PII never leaves the local machine.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Modern Component-Driven Frontend Architecture: </w:t>
      </w:r>
      <w:r>
        <w:rPr>
          <w:rFonts w:ascii="Times New Roman" w:hAnsi="Times New Roman"/>
          <w:color w:val="374151"/>
          <w:sz w:val="23"/>
        </w:rPr>
        <w:t>Construct a modular, reactive Single Page Application (SPA) using React 18 and Vite, utilizing concurrent rendering, custom hooks, and isolated state management.</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GPU-Accelerated 3D WebGL Typography: </w:t>
      </w:r>
      <w:r>
        <w:rPr>
          <w:rFonts w:ascii="Times New Roman" w:hAnsi="Times New Roman"/>
          <w:color w:val="374151"/>
          <w:sz w:val="23"/>
        </w:rPr>
        <w:t>Develop an interactive, physics-based liquid-warp hero header using OGL and custom GLSL vertex and fragment shaders running at a locked 60 FPS.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Dual-Tier Conversational AI Architecture: </w:t>
      </w:r>
      <w:r>
        <w:rPr>
          <w:rFonts w:ascii="Times New Roman" w:hAnsi="Times New Roman"/>
          <w:color w:val="374151"/>
          <w:sz w:val="23"/>
        </w:rPr>
        <w:t>Integrate an In-App AI Retention Strategist Chatbot that leverages Google GenAI (gemini-2.5-flash) when online, backed by an autonomous deterministic heuristic engine when offline or unauthenticated.</w:t>
      </w:r>
    </w:p>
    <w:p>
      <w:pPr>
        <w:keepNext/>
        <w:spacing w:before="200" w:after="80"/>
      </w:pPr>
      <w:r>
        <w:rPr>
          <w:rFonts w:ascii="Times New Roman" w:hAnsi="Times New Roman"/>
          <w:b/>
          <w:i/>
          <w:color w:val="334155"/>
          <w:sz w:val="23"/>
        </w:rPr>
        <w:t>1.3.2 Functional &amp; Business Objectives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Holistic Multi-Dimensional Profiling: </w:t>
      </w:r>
      <w:r>
        <w:rPr>
          <w:rFonts w:ascii="Times New Roman" w:hAnsi="Times New Roman"/>
          <w:color w:val="374151"/>
          <w:sz w:val="23"/>
        </w:rPr>
        <w:t>Ingest and evaluate 19 comprehensive customer parameters across Demographics, Subscribed Services, and Contractual/Billing attributes.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Continuous Calibrated Risk Scoring: </w:t>
      </w:r>
      <w:r>
        <w:rPr>
          <w:rFonts w:ascii="Times New Roman" w:hAnsi="Times New Roman"/>
          <w:color w:val="374151"/>
          <w:sz w:val="23"/>
        </w:rPr>
        <w:t>Output an accurate, continuous churn probability spanning from 4.1% (low risk) to 93.1% (critical risk), categorized into distinct operational risk tiers (Low, Medium, High).</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Transparent Explainable AI (XAI): </w:t>
      </w:r>
      <w:r>
        <w:rPr>
          <w:rFonts w:ascii="Times New Roman" w:hAnsi="Times New Roman"/>
          <w:color w:val="374151"/>
          <w:sz w:val="23"/>
        </w:rPr>
        <w:t>Demystify black-box machine learning through dynamic SHAP-like waterfall attributions and a 6-axis account health diagnostic radar.</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Quantified What-If Countermeasure Simulation: </w:t>
      </w:r>
      <w:r>
        <w:rPr>
          <w:rFonts w:ascii="Times New Roman" w:hAnsi="Times New Roman"/>
          <w:color w:val="374151"/>
          <w:sz w:val="23"/>
        </w:rPr>
        <w:t>Empower retention agents to simulate contract upgrades, security add-ons, and payment transitions, dynamically calculating the exact Annual Recurring Revenue (ARR) saved by each intervention.</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Enterprise Batch CSV Cohort Intelligence: </w:t>
      </w:r>
      <w:r>
        <w:rPr>
          <w:rFonts w:ascii="Times New Roman" w:hAnsi="Times New Roman"/>
          <w:color w:val="374151"/>
          <w:sz w:val="23"/>
        </w:rPr>
        <w:t>Enable bulk portfolio ingestion, rendering interactive risk decile distributions, 4-quadrant revenue-at-risk scatter matrices, and segment risk drivers for executive decision-making.</w:t>
      </w:r>
    </w:p>
    <w:p>
      <w:pPr>
        <w:keepNext/>
        <w:spacing w:before="200" w:after="80"/>
      </w:pPr>
      <w:r>
        <w:rPr>
          <w:rFonts w:ascii="Times New Roman" w:hAnsi="Times New Roman"/>
          <w:b/>
          <w:i/>
          <w:color w:val="334155"/>
          <w:sz w:val="23"/>
        </w:rPr>
        <w:t>1.3.3 UI/UX &amp; Design Objectives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Dark Cyber-Glassmorphism Aesthetic: </w:t>
      </w:r>
      <w:r>
        <w:rPr>
          <w:rFonts w:ascii="Times New Roman" w:hAnsi="Times New Roman"/>
          <w:color w:val="374151"/>
          <w:sz w:val="23"/>
        </w:rPr>
        <w:t>Implement a sophisticated, modern user interface featuring multi-layered translucent surfaces, backdrop blur filters, and neon semantic accents.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Interactive Specular Cursor Lighting: </w:t>
      </w:r>
      <w:r>
        <w:rPr>
          <w:rFonts w:ascii="Times New Roman" w:hAnsi="Times New Roman"/>
          <w:color w:val="374151"/>
          <w:sz w:val="23"/>
        </w:rPr>
        <w:t>Construct a tactile physical interaction mechanic tracking cursor coordinates and mapping them to dynamic CSS gradient masks on form controls.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Zero-Dependency Native Visualizations: </w:t>
      </w:r>
      <w:r>
        <w:rPr>
          <w:rFonts w:ascii="Times New Roman" w:hAnsi="Times New Roman"/>
          <w:color w:val="374151"/>
          <w:sz w:val="23"/>
        </w:rPr>
        <w:t>Build all interactive charts, radars, and waterfall diagrams using pure SVG and DOM manipulation, eliminating bloated third-party charting libraries.</w:t>
      </w:r>
    </w:p>
    <w:p>
      <w:pPr>
        <w:keepNext/>
        <w:pageBreakBefore/>
        <w:spacing w:before="400" w:after="240"/>
        <w:jc w:val="center"/>
      </w:pPr>
      <w:r>
        <w:rPr>
          <w:rFonts w:ascii="Times New Roman" w:hAnsi="Times New Roman"/>
          <w:b/>
          <w:color w:val="0F172A"/>
          <w:sz w:val="32"/>
        </w:rPr>
        <w:t>CHAPTER-2. TECHNIQUES AND TECHNOLOGY USED</w:t>
      </w:r>
    </w:p>
    <w:p>
      <w:pPr>
        <w:keepNext/>
        <w:spacing w:before="280" w:after="120"/>
      </w:pPr>
      <w:r>
        <w:rPr>
          <w:rFonts w:ascii="Times New Roman" w:hAnsi="Times New Roman"/>
          <w:b/>
          <w:color w:val="1E293B"/>
          <w:sz w:val="26"/>
        </w:rPr>
        <w:t>2.1 HTML5, MODERN CSS3 &amp; TAILWIND CSS</w:t>
      </w:r>
    </w:p>
    <w:p>
      <w:pPr>
        <w:spacing w:before="0" w:after="120" w:line="276" w:lineRule="auto"/>
        <w:jc w:val="both"/>
      </w:pPr>
      <w:r>
        <w:rPr>
          <w:rFonts w:ascii="Times New Roman" w:hAnsi="Times New Roman"/>
          <w:color w:val="1E293B"/>
          <w:sz w:val="23"/>
        </w:rPr>
        <w:t>The presentation and structural foundation of ChurnPred is engineered using modern HTML5, advanced CSS3 capabilities, and the Tailwind CSS utility framework. Rather than relying on monolithic, generic UI toolkits that introduce performance overhead and visual homogeny, the application uses a bespoke cyber-glassmorphism design language tailored for data-dense analytical workflows.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HTML5 Semantic Document Structure: </w:t>
      </w:r>
      <w:r>
        <w:rPr>
          <w:rFonts w:ascii="Times New Roman" w:hAnsi="Times New Roman"/>
          <w:color w:val="374151"/>
          <w:sz w:val="23"/>
        </w:rPr>
        <w:t>The application utilizes semantic tags (&lt;main&gt;, &lt;section&gt;, &lt;article&gt;, &lt;header&gt;, &lt;nav&gt;) to establish an accessible document outline. This semantic discipline optimizes screen-reader accessibility (ARIA attributes) and ensures that dynamic DOM updates during prediction recalculations do not trigger unnecessary reflows or layout thrashing.</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CSS3 Glassmorphism &amp; Translucent Depth: </w:t>
      </w:r>
      <w:r>
        <w:rPr>
          <w:rFonts w:ascii="Times New Roman" w:hAnsi="Times New Roman"/>
          <w:color w:val="374151"/>
          <w:sz w:val="23"/>
        </w:rPr>
        <w:t>Panels and analytical containers utilize backdrop-filter: blur(16px) combined with semi-transparent RGBA background fills (e.g., rgba(17, 24, 39, 0.75)) and subtle 1px border strokes (rgba(255, 255, 255, 0.08)). This creates visual hierarchy and optical depth over the animated dark canvas.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Specular Cursor Lighting Engine: </w:t>
      </w:r>
      <w:r>
        <w:rPr>
          <w:rFonts w:ascii="Times New Roman" w:hAnsi="Times New Roman"/>
          <w:color w:val="374151"/>
          <w:sz w:val="23"/>
        </w:rPr>
        <w:t>A proprietary cursor-interaction engine was developed using CSS Custom Properties (--mouse-x and --mouse-y). Global mousemove listeners inject normalized coordinate deltas into CSS variables, which illuminate the borders and backgrounds of interactive inputs via radial gradient masks, simulating physical spotlight reflections.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Tailwind CSS Utility Architecture: </w:t>
      </w:r>
      <w:r>
        <w:rPr>
          <w:rFonts w:ascii="Times New Roman" w:hAnsi="Times New Roman"/>
          <w:color w:val="374151"/>
          <w:sz w:val="23"/>
        </w:rPr>
        <w:t>Tailwind CSS provides atomic design tokens for responsive spacing, flexbox/grid alignments, typography scales, and CSS transitions. PurgeCSS strips unused rules during production compilation, resulting in a minified stylesheet under 35KB.</w:t>
      </w:r>
    </w:p>
    <w:p>
      <w:pPr>
        <w:keepNext/>
        <w:spacing w:before="280" w:after="120"/>
      </w:pPr>
      <w:r>
        <w:rPr>
          <w:rFonts w:ascii="Times New Roman" w:hAnsi="Times New Roman"/>
          <w:b/>
          <w:color w:val="1E293B"/>
          <w:sz w:val="26"/>
        </w:rPr>
        <w:t>2.2 JAVASCRIPT (ES6+) &amp; MODERN REACT 18 ARCHITECTURE</w:t>
      </w:r>
    </w:p>
    <w:p>
      <w:pPr>
        <w:spacing w:before="0" w:after="120" w:line="276" w:lineRule="auto"/>
        <w:jc w:val="both"/>
      </w:pPr>
      <w:r>
        <w:rPr>
          <w:rFonts w:ascii="Times New Roman" w:hAnsi="Times New Roman"/>
          <w:color w:val="1E293B"/>
          <w:sz w:val="23"/>
        </w:rPr>
        <w:t>The core runtime logic, state synchronization, and reactive UI pipelines are governed by modern JavaScript (ECMAScript 2022+) and the React 18 framework. React's component-driven paradigm enables ChurnPred to maintain complex state trees across multiple analytical tools without sacrificing sub-millisecond responsiveness.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React 18 Concurrent Rendering &amp; State Pipelines: </w:t>
      </w:r>
      <w:r>
        <w:rPr>
          <w:rFonts w:ascii="Times New Roman" w:hAnsi="Times New Roman"/>
          <w:color w:val="374151"/>
          <w:sz w:val="23"/>
        </w:rPr>
        <w:t>The platform leverages React 18 features, including automatic batching and concurrent transitions. When a user modifies an input feature or uploads a batch CSV, state updates are batched seamlessly, keeping the UI interactive even during intensive computations.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Custom React Hooks Architecture: </w:t>
      </w:r>
      <w:r>
        <w:rPr>
          <w:rFonts w:ascii="Times New Roman" w:hAnsi="Times New Roman"/>
          <w:color w:val="374151"/>
          <w:sz w:val="23"/>
        </w:rPr>
        <w:t>Application logic is decoupled from presentation through specialized hooks. useMemo is employed extensively to memoize mathematical feature vector construction and decision tree traversals, ensuring that the 100-tree model executes only when underlying feature inputs change.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Real-Time Feature Vector Construction: </w:t>
      </w:r>
      <w:r>
        <w:rPr>
          <w:rFonts w:ascii="Times New Roman" w:hAnsi="Times New Roman"/>
          <w:color w:val="374151"/>
          <w:sz w:val="23"/>
        </w:rPr>
        <w:t>JavaScript handles the critical translation between user-friendly form controls and the mathematical feature vector. Raw inputs (e.g., strings like 'Fiber optic', 'Month-to-month', 'Electronic check') are converted into numeric dummy variables and scaled continuous values via highly optimized ternary operations, compiling the finalized 33-dimensional float array required by the XGBoost engine.</w:t>
      </w:r>
    </w:p>
    <w:p>
      <w:pPr>
        <w:keepNext/>
        <w:spacing w:before="280" w:after="120"/>
      </w:pPr>
      <w:r>
        <w:rPr>
          <w:rFonts w:ascii="Times New Roman" w:hAnsi="Times New Roman"/>
          <w:b/>
          <w:color w:val="1E293B"/>
          <w:sz w:val="26"/>
        </w:rPr>
        <w:t>2.3 OGL WEBGL FRAMEWORK &amp; 3D SHADERS</w:t>
      </w:r>
    </w:p>
    <w:p>
      <w:pPr>
        <w:spacing w:before="0" w:after="120" w:line="276" w:lineRule="auto"/>
        <w:jc w:val="both"/>
      </w:pPr>
      <w:r>
        <w:rPr>
          <w:rFonts w:ascii="Times New Roman" w:hAnsi="Times New Roman"/>
          <w:color w:val="1E293B"/>
          <w:sz w:val="23"/>
        </w:rPr>
        <w:t>To elevate the visual aesthetic of the platform beyond traditional enterprise dashboards, the hero header features an interactive 3D liquid-warp typography canvas rendered directly via WebGL using the OGL framework.</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Why OGL over Three.js: </w:t>
      </w:r>
      <w:r>
        <w:rPr>
          <w:rFonts w:ascii="Times New Roman" w:hAnsi="Times New Roman"/>
          <w:color w:val="374151"/>
          <w:sz w:val="23"/>
        </w:rPr>
        <w:t>While Three.js is a dominant 3D library for web development, its minified bundle size exceeds 600KB and includes extensive abstraction layers unnecessary for 2D/3D procedural shader typography. OGL is an ultra-lightweight WebGL library (&lt;28KB gzipped) that provides minimal, performant wrappers around WebGL buffers, programs, and render targets, granting direct control over GPU hardware.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Custom GLSL Vertex Shader: </w:t>
      </w:r>
      <w:r>
        <w:rPr>
          <w:rFonts w:ascii="Times New Roman" w:hAnsi="Times New Roman"/>
          <w:color w:val="374151"/>
          <w:sz w:val="23"/>
        </w:rPr>
        <w:t>The vertex shader maps the quad geometry onto normalized device coordinates (NDC) and passes interpolated UV texture coordinates to the fragment pipeline with zero vertex processing overhead.</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Custom GLSL Fragment Shader &amp; Fluid Physics: </w:t>
      </w:r>
      <w:r>
        <w:rPr>
          <w:rFonts w:ascii="Times New Roman" w:hAnsi="Times New Roman"/>
          <w:color w:val="374151"/>
          <w:sz w:val="23"/>
        </w:rPr>
        <w:t>The fragment shader executes a per-pixel mathematical displacement algorithm. It samples an offscreen texture containing the rendered typography, evaluates cursor proximity and velocity vectors, and applies 2D simplex noise and trigonometric sine wave advection. This produces a liquid-distortion effect with chromatic aberration (RGB channel separation) that runs at a locked 60 FPS on integrated and discrete GPUs.</w:t>
      </w:r>
    </w:p>
    <w:p>
      <w:pPr>
        <w:keepNext/>
        <w:spacing w:before="280" w:after="120"/>
      </w:pPr>
      <w:r>
        <w:rPr>
          <w:rFonts w:ascii="Times New Roman" w:hAnsi="Times New Roman"/>
          <w:b/>
          <w:color w:val="1E293B"/>
          <w:sz w:val="26"/>
        </w:rPr>
        <w:t>2.4 SUPERVISED LEARNING &amp; XGBOOST 100-TREE PIPELINE</w:t>
      </w:r>
    </w:p>
    <w:p>
      <w:pPr>
        <w:spacing w:before="0" w:after="120" w:line="276" w:lineRule="auto"/>
        <w:jc w:val="both"/>
      </w:pPr>
      <w:r>
        <w:rPr>
          <w:rFonts w:ascii="Times New Roman" w:hAnsi="Times New Roman"/>
          <w:color w:val="1E293B"/>
          <w:sz w:val="23"/>
        </w:rPr>
        <w:t>The predictive core of ChurnPred is powered by Extreme Gradient Boosting (XGBoost), a state-of-the-art implementation of gradient boosted decision trees engineered for speed, regularization, and performance on structured tabular data.</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Algorithmic Superiority on Tabular Data: </w:t>
      </w:r>
      <w:r>
        <w:rPr>
          <w:rFonts w:ascii="Times New Roman" w:hAnsi="Times New Roman"/>
          <w:color w:val="374151"/>
          <w:sz w:val="23"/>
        </w:rPr>
        <w:t>While deep neural networks excel in unstructured domains (computer vision, natural language), extensive empirical research demonstrates that tree-based ensemble algorithms consistently outperform deep learning on heterogeneous, tabular data containing mixed continuous and sparse categorical features. XGBoost constructs sequential decision trees that recursively partition the feature space along orthogonal hyperplanes, capturing non-linear interactions without requiring arbitrary continuous normalization.</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Sequential Gradient Boosting Mechanism: </w:t>
      </w:r>
      <w:r>
        <w:rPr>
          <w:rFonts w:ascii="Times New Roman" w:hAnsi="Times New Roman"/>
          <w:color w:val="374151"/>
          <w:sz w:val="23"/>
        </w:rPr>
        <w:t>XGBoost trains trees iteratively. At each boosting iteration t, a new decision tree f_t(x) is added to minimize an objective function composed of a differentiable convex loss function and a regularization term that penalizes model complexity:</w:t>
      </w:r>
    </w:p>
    <w:p>
      <w:pPr>
        <w:spacing w:before="120" w:after="120"/>
        <w:jc w:val="center"/>
      </w:pPr>
      <w:r>
        <w:rPr>
          <w:rFonts w:ascii="Cambria Math" w:hAnsi="Cambria Math"/>
          <w:i/>
          <w:color w:val="1E293B"/>
          <w:sz w:val="23"/>
        </w:rPr>
        <w:t>Obj^(t) = Σ [ l(y_i, y_hat_i^(t-1) + f_t(x_i)) ] + Ω(f_t),   where Ω(f) = γ T + (1/2) λ Σ w_j^2</w:t>
      </w:r>
    </w:p>
    <w:p>
      <w:pPr>
        <w:spacing w:before="0" w:after="120" w:line="276" w:lineRule="auto"/>
        <w:jc w:val="both"/>
      </w:pPr>
      <w:r>
        <w:rPr>
          <w:rFonts w:ascii="Times New Roman" w:hAnsi="Times New Roman"/>
          <w:color w:val="1E293B"/>
          <w:sz w:val="23"/>
        </w:rPr>
        <w:t>By taking the second-order Taylor expansion of the loss function, XGBoost evaluates optimal split points across the 33-dimensional feature space based on exact gradient (g_i) and hessian (h_i) statistics, preventing overfitting while maximizing discriminatory accuracy.</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Continuous Sigmoid Probability Calibration: </w:t>
      </w:r>
      <w:r>
        <w:rPr>
          <w:rFonts w:ascii="Times New Roman" w:hAnsi="Times New Roman"/>
          <w:color w:val="374151"/>
          <w:sz w:val="23"/>
        </w:rPr>
        <w:t>The trained ensemble aggregates the raw leaf score contributions across all 100 decision trees into an unconstrained margin score z (log-odds). This margin score is then passed through a calibrated logistic sigmoid transformation function:</w:t>
      </w:r>
    </w:p>
    <w:p>
      <w:pPr>
        <w:spacing w:before="120" w:after="120"/>
        <w:jc w:val="center"/>
      </w:pPr>
      <w:r>
        <w:rPr>
          <w:rFonts w:ascii="Cambria Math" w:hAnsi="Cambria Math"/>
          <w:i/>
          <w:color w:val="1E293B"/>
          <w:sz w:val="23"/>
        </w:rPr>
        <w:t>P(Churn | x) = σ(z) = 1 / ( 1 + e^(-z) )</w:t>
      </w:r>
    </w:p>
    <w:p>
      <w:pPr>
        <w:spacing w:before="0" w:after="120" w:line="276" w:lineRule="auto"/>
        <w:jc w:val="both"/>
      </w:pPr>
      <w:r>
        <w:rPr>
          <w:rFonts w:ascii="Times New Roman" w:hAnsi="Times New Roman"/>
          <w:color w:val="1E293B"/>
          <w:sz w:val="23"/>
        </w:rPr>
        <w:t>This calibration maps raw margins into a smooth, continuous probability spectrum ranging from 4.1% (loyal, multi-product, two-year contracts) to 93.1% (unbundled, month-to-month, electronic check accounts), providing granular risk differentiation.</w:t>
      </w:r>
    </w:p>
    <w:p>
      <w:pPr>
        <w:keepNext/>
        <w:spacing w:before="280" w:after="120"/>
      </w:pPr>
      <w:r>
        <w:rPr>
          <w:rFonts w:ascii="Times New Roman" w:hAnsi="Times New Roman"/>
          <w:b/>
          <w:color w:val="1E293B"/>
          <w:sz w:val="26"/>
        </w:rPr>
        <w:t>2.5 m2cgen TRANSPILATION &amp; CLIENT-SIDE EDGE INFERENCE</w:t>
      </w:r>
    </w:p>
    <w:p>
      <w:pPr>
        <w:spacing w:before="0" w:after="120" w:line="276" w:lineRule="auto"/>
        <w:jc w:val="both"/>
      </w:pPr>
      <w:r>
        <w:rPr>
          <w:rFonts w:ascii="Times New Roman" w:hAnsi="Times New Roman"/>
          <w:color w:val="1E293B"/>
          <w:sz w:val="23"/>
        </w:rPr>
        <w:t>To achieve the core objective of serverless, zero-latency inference, the trained Python XGBoost model was transpiled into native JavaScript using m2cgen (Model to Code Generator).</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Transpilation Workflow: </w:t>
      </w:r>
      <w:r>
        <w:rPr>
          <w:rFonts w:ascii="Times New Roman" w:hAnsi="Times New Roman"/>
          <w:color w:val="374151"/>
          <w:sz w:val="23"/>
        </w:rPr>
        <w:t>m2cgen parses the binary tree structures of the serialized Scikit-Learn / XGBoost model (.pkl) and generates a clean abstract syntax tree (AST) representing the ensemble. This AST is compiled into a standalone JavaScript function consisting of nested conditional statements (if-else) and floating-point leaf additions.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O(1) Execution Complexity &amp; Zero Latency: </w:t>
      </w:r>
      <w:r>
        <w:rPr>
          <w:rFonts w:ascii="Times New Roman" w:hAnsi="Times New Roman"/>
          <w:color w:val="374151"/>
          <w:sz w:val="23"/>
        </w:rPr>
        <w:t>Because the compiled model executes as native JavaScript instructions without requiring third-party matrix multiplication or tensor libraries, the inference process executes in approximately 0.38 milliseconds on standard desktop and mobile browsers. This achieves an 840x speedup over traditional cloud API roundtrips.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Absolute Data Privacy &amp; Offline Resilience: </w:t>
      </w:r>
      <w:r>
        <w:rPr>
          <w:rFonts w:ascii="Times New Roman" w:hAnsi="Times New Roman"/>
          <w:color w:val="374151"/>
          <w:sz w:val="23"/>
        </w:rPr>
        <w:t>Because the model is entirely embedded within the client application bundle, customer records never leave the local browser environment. This guarantees total compliance with enterprise privacy policies and allows the application to function with full predictive capability even in offline or air-gapped environments.</w:t>
      </w:r>
    </w:p>
    <w:p>
      <w:pPr>
        <w:keepNext/>
        <w:spacing w:before="280" w:after="120"/>
      </w:pPr>
      <w:r>
        <w:rPr>
          <w:rFonts w:ascii="Times New Roman" w:hAnsi="Times New Roman"/>
          <w:b/>
          <w:color w:val="1E293B"/>
          <w:sz w:val="26"/>
        </w:rPr>
        <w:t>2.6 BACKEND ARCHITECTURE, SECURITY &amp; CLOUD DEPLOYMENT</w:t>
      </w:r>
    </w:p>
    <w:p>
      <w:pPr>
        <w:spacing w:before="0" w:after="120" w:line="276" w:lineRule="auto"/>
        <w:jc w:val="both"/>
      </w:pPr>
      <w:r>
        <w:rPr>
          <w:rFonts w:ascii="Times New Roman" w:hAnsi="Times New Roman"/>
          <w:color w:val="1E293B"/>
          <w:sz w:val="23"/>
        </w:rPr>
        <w:t>While predictive inference runs entirely at the client edge, ChurnPred incorporates an enterprise Node.js and Express REST API to manage user authentication, workspace persistence, and cloud AI advisory capabilities.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Node.js &amp; Express REST API Gateway: </w:t>
      </w:r>
      <w:r>
        <w:rPr>
          <w:rFonts w:ascii="Times New Roman" w:hAnsi="Times New Roman"/>
          <w:color w:val="374151"/>
          <w:sz w:val="23"/>
        </w:rPr>
        <w:t>The backend server exposes clean, secure REST endpoints (/api/auth/register, /api/auth/login, /api/auth/me, /api/chat) with CORS configuration, express-rate-limit protection, and JSON body parsing.</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Dual-Tier Authentication System (MongoDB Atlas + JSON Fallback): </w:t>
      </w:r>
      <w:r>
        <w:rPr>
          <w:rFonts w:ascii="Times New Roman" w:hAnsi="Times New Roman"/>
          <w:color w:val="374151"/>
          <w:sz w:val="23"/>
        </w:rPr>
        <w:t>User authentication uses bcrypt password hashing (10 salt rounds) and JSON Web Tokens (JWT) signed with secret keys. For production, user credentials and sessions persist in a cloud MongoDB Atlas cluster via Mongoose schemas. In environments without database connectivity, the backend automatically switches to an in-memory/JSON fallback store, guaranteeing seamless setup and zero operational downtime.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Google GenAI SDK Integration (@google/genai): </w:t>
      </w:r>
      <w:r>
        <w:rPr>
          <w:rFonts w:ascii="Times New Roman" w:hAnsi="Times New Roman"/>
          <w:color w:val="374151"/>
          <w:sz w:val="23"/>
        </w:rPr>
        <w:t>The /api/chat endpoint integrates with the official Google GenAI SDK, connecting to the advanced gemini-2.5-flash model. Customer profile telemetry, calibrated risk percentages, and XAI feature attributions are structured into dynamic system prompts, enabling the model to generate prescriptive retention strategies.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Vite Build Pipeline &amp; Edge CDN Hosting: </w:t>
      </w:r>
      <w:r>
        <w:rPr>
          <w:rFonts w:ascii="Times New Roman" w:hAnsi="Times New Roman"/>
          <w:color w:val="374151"/>
          <w:sz w:val="23"/>
        </w:rPr>
        <w:t>The frontend application is built using Vite, which leverages Rollup for tree-shaking, code splitting, and CSS minification. Production assets are hosted on global Content Delivery Networks (CDNs) such as Vercel, ensuring sub-second initial asset delivery worldwide.</w:t>
      </w:r>
    </w:p>
    <w:p>
      <w:pPr>
        <w:keepNext/>
        <w:pageBreakBefore/>
        <w:spacing w:before="400" w:after="240"/>
        <w:jc w:val="center"/>
      </w:pPr>
      <w:r>
        <w:rPr>
          <w:rFonts w:ascii="Times New Roman" w:hAnsi="Times New Roman"/>
          <w:b/>
          <w:color w:val="0F172A"/>
          <w:sz w:val="32"/>
        </w:rPr>
        <w:t>CHAPTER 3: METHODOLOGY</w:t>
      </w:r>
    </w:p>
    <w:p>
      <w:pPr>
        <w:keepNext/>
        <w:spacing w:before="280" w:after="120"/>
      </w:pPr>
      <w:r>
        <w:rPr>
          <w:rFonts w:ascii="Times New Roman" w:hAnsi="Times New Roman"/>
          <w:b/>
          <w:color w:val="1E293B"/>
          <w:sz w:val="26"/>
        </w:rPr>
        <w:t>3.1 REQUIREMENT ANALYSIS</w:t>
      </w:r>
    </w:p>
    <w:p>
      <w:pPr>
        <w:spacing w:before="0" w:after="120" w:line="276" w:lineRule="auto"/>
        <w:jc w:val="both"/>
      </w:pPr>
      <w:r>
        <w:rPr>
          <w:rFonts w:ascii="Times New Roman" w:hAnsi="Times New Roman"/>
          <w:color w:val="1E293B"/>
          <w:sz w:val="23"/>
        </w:rPr>
        <w:t>The engineering of ChurnPred commenced with an exhaustive requirement analysis phase to resolve the usability, operational, and performance limitations documented in legacy customer relationship management (CRM) predictive tools. Requirements were partitioned into functional and non-functional specifications.</w:t>
      </w:r>
    </w:p>
    <w:p>
      <w:pPr>
        <w:keepNext/>
        <w:spacing w:before="200" w:after="80"/>
      </w:pPr>
      <w:r>
        <w:rPr>
          <w:rFonts w:ascii="Times New Roman" w:hAnsi="Times New Roman"/>
          <w:b/>
          <w:i/>
          <w:color w:val="334155"/>
          <w:sz w:val="23"/>
        </w:rPr>
        <w:t>3.1.1 Functional Requirements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Single-Customer Profiling: </w:t>
      </w:r>
      <w:r>
        <w:rPr>
          <w:rFonts w:ascii="Times New Roman" w:hAnsi="Times New Roman"/>
          <w:color w:val="374151"/>
          <w:sz w:val="23"/>
        </w:rPr>
        <w:t>The system must capture 19 customer attributes through structured, validated input fields.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Instant Churn Probability Calculation: </w:t>
      </w:r>
      <w:r>
        <w:rPr>
          <w:rFonts w:ascii="Times New Roman" w:hAnsi="Times New Roman"/>
          <w:color w:val="374151"/>
          <w:sz w:val="23"/>
        </w:rPr>
        <w:t>Predictions must be computed dynamically upon form modification without explicit page reloads.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Explainable AI Decomposition: </w:t>
      </w:r>
      <w:r>
        <w:rPr>
          <w:rFonts w:ascii="Times New Roman" w:hAnsi="Times New Roman"/>
          <w:color w:val="374151"/>
          <w:sz w:val="23"/>
        </w:rPr>
        <w:t>The platform must present local feature attributions isolating positive retention drivers from negative risk drivers.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Interactive Countermeasure Simulation: </w:t>
      </w:r>
      <w:r>
        <w:rPr>
          <w:rFonts w:ascii="Times New Roman" w:hAnsi="Times New Roman"/>
          <w:color w:val="374151"/>
          <w:sz w:val="23"/>
        </w:rPr>
        <w:t>Users must be able to toggle hypothetical customer retention interventions and observe real-time risk deltas and ARR savings.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Enterprise Batch CSV Ingestion: </w:t>
      </w:r>
      <w:r>
        <w:rPr>
          <w:rFonts w:ascii="Times New Roman" w:hAnsi="Times New Roman"/>
          <w:color w:val="374151"/>
          <w:sz w:val="23"/>
        </w:rPr>
        <w:t>The system must parse, validate, and score tabular customer datasets containing thousands of rows via drag-and-drop.</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Conversational AI Advisor: </w:t>
      </w:r>
      <w:r>
        <w:rPr>
          <w:rFonts w:ascii="Times New Roman" w:hAnsi="Times New Roman"/>
          <w:color w:val="374151"/>
          <w:sz w:val="23"/>
        </w:rPr>
        <w:t>An integrated retention chatbot must provide contextual, domain-grounded explanations and strategic action plans.</w:t>
      </w:r>
    </w:p>
    <w:p>
      <w:pPr>
        <w:keepNext/>
        <w:spacing w:before="200" w:after="80"/>
      </w:pPr>
      <w:r>
        <w:rPr>
          <w:rFonts w:ascii="Times New Roman" w:hAnsi="Times New Roman"/>
          <w:b/>
          <w:i/>
          <w:color w:val="334155"/>
          <w:sz w:val="23"/>
        </w:rPr>
        <w:t>3.1.2 Non-Functional Requirements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Inference Latency: </w:t>
      </w:r>
      <w:r>
        <w:rPr>
          <w:rFonts w:ascii="Times New Roman" w:hAnsi="Times New Roman"/>
          <w:color w:val="374151"/>
          <w:sz w:val="23"/>
        </w:rPr>
        <w:t>Model execution must complete in under 5 milliseconds on the client device.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Rendering Performance: </w:t>
      </w:r>
      <w:r>
        <w:rPr>
          <w:rFonts w:ascii="Times New Roman" w:hAnsi="Times New Roman"/>
          <w:color w:val="374151"/>
          <w:sz w:val="23"/>
        </w:rPr>
        <w:t>Interactive WebGL visual elements and SVG charts must maintain a stable 60 frames per second.</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Zero Data Egress: </w:t>
      </w:r>
      <w:r>
        <w:rPr>
          <w:rFonts w:ascii="Times New Roman" w:hAnsi="Times New Roman"/>
          <w:color w:val="374151"/>
          <w:sz w:val="23"/>
        </w:rPr>
        <w:t>Customer data used for predictions must remain strictly within the client browser sandbox.</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Cross-Browser Compatibility: </w:t>
      </w:r>
      <w:r>
        <w:rPr>
          <w:rFonts w:ascii="Times New Roman" w:hAnsi="Times New Roman"/>
          <w:color w:val="374151"/>
          <w:sz w:val="23"/>
        </w:rPr>
        <w:t>The system must operate seamlessly across modern Evergreen browsers (Google Chrome, Microsoft Edge, Mozilla Firefox, Apple Safari).</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Accessibility &amp; Ergonomics: </w:t>
      </w:r>
      <w:r>
        <w:rPr>
          <w:rFonts w:ascii="Times New Roman" w:hAnsi="Times New Roman"/>
          <w:color w:val="374151"/>
          <w:sz w:val="23"/>
        </w:rPr>
        <w:t>The UI must comply with WCAG 2.1 AA contrast requirements and provide keyboard-accessible navigation.</w:t>
      </w:r>
    </w:p>
    <w:p>
      <w:pPr>
        <w:keepNext/>
        <w:spacing w:before="280" w:after="120"/>
      </w:pPr>
      <w:r>
        <w:rPr>
          <w:rFonts w:ascii="Times New Roman" w:hAnsi="Times New Roman"/>
          <w:b/>
          <w:color w:val="1E293B"/>
          <w:sz w:val="26"/>
        </w:rPr>
        <w:t>3.2 SYSTEM DESIGN &amp; MULTI-TIER ARCHITECTURE</w:t>
      </w:r>
    </w:p>
    <w:p>
      <w:pPr>
        <w:spacing w:before="0" w:after="120" w:line="276" w:lineRule="auto"/>
        <w:jc w:val="both"/>
      </w:pPr>
      <w:r>
        <w:rPr>
          <w:rFonts w:ascii="Times New Roman" w:hAnsi="Times New Roman"/>
          <w:color w:val="1E293B"/>
          <w:sz w:val="23"/>
        </w:rPr>
        <w:t>ChurnPred is architected as a hybrid multi-tier edge system that strategically partitions workloads between client-side execution (zero latency, high security) and server-side processing (conversational intelligence, user persistence). Figure 1 illustrates the data flow and architectural boundaries of the system.</w:t>
      </w:r>
    </w:p>
    <w:p>
      <w:pPr>
        <w:keepNext/>
        <w:spacing w:before="200" w:after="80"/>
        <w:jc w:val="center"/>
      </w:pPr>
      <w:r>
        <w:drawing>
          <wp:inline xmlns:a="http://schemas.openxmlformats.org/drawingml/2006/main" xmlns:pic="http://schemas.openxmlformats.org/drawingml/2006/picture">
            <wp:extent cx="4754880" cy="5191637"/>
            <wp:docPr id="2008096419" name="Picture 20080964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5191637"/>
                    </a:xfrm>
                    <a:prstGeom prst="rect"/>
                  </pic:spPr>
                </pic:pic>
              </a:graphicData>
            </a:graphic>
          </wp:inline>
        </w:drawing>
      </w:r>
    </w:p>
    <w:p>
      <w:pPr>
        <w:spacing w:before="40" w:after="240"/>
        <w:jc w:val="center"/>
      </w:pPr>
      <w:r>
        <w:rPr>
          <w:rFonts w:ascii="Times New Roman" w:hAnsi="Times New Roman"/>
          <w:b/>
          <w:color w:val="1F2937"/>
          <w:sz w:val="21"/>
        </w:rPr>
        <w:t xml:space="preserve">Figure 1: </w:t>
      </w:r>
      <w:r>
        <w:rPr>
          <w:rFonts w:ascii="Times New Roman" w:hAnsi="Times New Roman"/>
          <w:i/>
          <w:color w:val="4B5563"/>
          <w:sz w:val="21"/>
        </w:rPr>
        <w:t>System Data Flow &amp; Multi-Tier Edge Architecture</w:t>
      </w:r>
    </w:p>
    <w:p>
      <w:pPr>
        <w:spacing w:before="0" w:after="120" w:line="276" w:lineRule="auto"/>
        <w:jc w:val="both"/>
      </w:pPr>
      <w:r>
        <w:rPr>
          <w:rFonts w:ascii="Times New Roman" w:hAnsi="Times New Roman"/>
          <w:color w:val="1E293B"/>
          <w:sz w:val="23"/>
        </w:rPr>
        <w:t>As depicted in Figure 1, the architecture comprises three distinct layers: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Client-Side Edge Tier (Presentation &amp; ML): </w:t>
      </w:r>
      <w:r>
        <w:rPr>
          <w:rFonts w:ascii="Times New Roman" w:hAnsi="Times New Roman"/>
          <w:color w:val="374151"/>
          <w:sz w:val="23"/>
        </w:rPr>
        <w:t>Built on React 18 and Vite. Houses the Single Customer Predictor form, Batch CSV Dropzone, WebGL OGL Canvas, the compiled 100-tree XGBoost engine, and the Visual Analytics Suite. All feature transformations, decision logic, and chart renderings execute entirely within this tier, requiring no external network traffic for predictive scoring.</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API Gateway &amp; Microservices Tier: </w:t>
      </w:r>
      <w:r>
        <w:rPr>
          <w:rFonts w:ascii="Times New Roman" w:hAnsi="Times New Roman"/>
          <w:color w:val="374151"/>
          <w:sz w:val="23"/>
        </w:rPr>
        <w:t>Built on Node.js and Express. Handles JWT authentication, session validation, CORS enforcement, and routes conversational requests between the frontend chatbot console and the Google GenAI API.</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Data &amp; Cloud Intelligence Tier: </w:t>
      </w:r>
      <w:r>
        <w:rPr>
          <w:rFonts w:ascii="Times New Roman" w:hAnsi="Times New Roman"/>
          <w:color w:val="374151"/>
          <w:sz w:val="23"/>
        </w:rPr>
        <w:t>Encompasses MongoDB Atlas for authenticated user credential storage, and Google Gemini 2.5 Flash for conversational retention synthesis. Crucially, only aggregated prompt context (risk score, key feature names, ARR) is forwarded to Gemini—never raw PII or unencrypted subscriber identities.</w:t>
      </w:r>
    </w:p>
    <w:p>
      <w:pPr>
        <w:keepNext/>
        <w:spacing w:before="280" w:after="120"/>
      </w:pPr>
      <w:r>
        <w:rPr>
          <w:rFonts w:ascii="Times New Roman" w:hAnsi="Times New Roman"/>
          <w:b/>
          <w:color w:val="1E293B"/>
          <w:sz w:val="26"/>
        </w:rPr>
        <w:t>3.3 FRONTEND DEVELOPMENT &amp; DESIGN SYSTEM</w:t>
      </w:r>
    </w:p>
    <w:p>
      <w:pPr>
        <w:spacing w:before="0" w:after="120" w:line="276" w:lineRule="auto"/>
        <w:jc w:val="both"/>
      </w:pPr>
      <w:r>
        <w:rPr>
          <w:rFonts w:ascii="Times New Roman" w:hAnsi="Times New Roman"/>
          <w:color w:val="1E293B"/>
          <w:sz w:val="23"/>
        </w:rPr>
        <w:t>The frontend architecture is organized into modular React components following atomic design principles. State is managed locally where appropriate and lifted to shared contexts for cross-component synchronization.</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Component Hierarchy: </w:t>
      </w:r>
      <w:r>
        <w:rPr>
          <w:rFonts w:ascii="Times New Roman" w:hAnsi="Times New Roman"/>
          <w:color w:val="374151"/>
          <w:sz w:val="23"/>
        </w:rPr>
        <w:t>The root App component coordinates high-level state, managing navigation tabs (Single vs. Batch Predictor), user authentication state, and active customer records. Child components include Navbar, Hero (wrapping LiquidWarpTitle), SinglePredictor, BatchPredictor, VisualAnalyticsSuite, ChurnAdvisorChat, and AuthModal.</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Cyber-Glassmorphism Styling System: </w:t>
      </w:r>
      <w:r>
        <w:rPr>
          <w:rFonts w:ascii="Times New Roman" w:hAnsi="Times New Roman"/>
          <w:color w:val="374151"/>
          <w:sz w:val="23"/>
        </w:rPr>
        <w:t>The user interface employs a dark color palette (#0B0F19 background, #111827 surface layer, #1F2937 elevated cards). Semantic color coding ensures immediate visual recognition: Neon Emerald (#10B981) denotes Low Risk (&lt;30%), Vivid Amber (#F59E0B) indicates Medium Risk (30%–70%), and Crimson Red (#EF4444) signals High Risk (&gt;70%).</w:t>
      </w:r>
    </w:p>
    <w:p>
      <w:pPr>
        <w:keepNext/>
        <w:spacing w:before="280" w:after="120"/>
      </w:pPr>
      <w:r>
        <w:rPr>
          <w:rFonts w:ascii="Times New Roman" w:hAnsi="Times New Roman"/>
          <w:b/>
          <w:color w:val="1E293B"/>
          <w:sz w:val="26"/>
        </w:rPr>
        <w:t>3.4 MACHINE LEARNING METHODOLOGY &amp; FEATURE ENGINEERING</w:t>
      </w:r>
    </w:p>
    <w:p>
      <w:pPr>
        <w:spacing w:before="0" w:after="120" w:line="276" w:lineRule="auto"/>
        <w:jc w:val="both"/>
      </w:pPr>
      <w:r>
        <w:rPr>
          <w:rFonts w:ascii="Times New Roman" w:hAnsi="Times New Roman"/>
          <w:color w:val="1E293B"/>
          <w:sz w:val="23"/>
        </w:rPr>
        <w:t>The machine learning methodology encompasses data collection, data hygiene, exploratory data analysis (EDA), feature transformation, model training, performance benchmarking, model transpilation, and explainable AI formulation.</w:t>
      </w:r>
    </w:p>
    <w:p>
      <w:pPr>
        <w:keepNext/>
        <w:spacing w:before="200" w:after="80"/>
      </w:pPr>
      <w:r>
        <w:rPr>
          <w:rFonts w:ascii="Times New Roman" w:hAnsi="Times New Roman"/>
          <w:b/>
          <w:i/>
          <w:color w:val="334155"/>
          <w:sz w:val="23"/>
        </w:rPr>
        <w:t>3.4.1 Data Collection &amp; Cleaning</w:t>
      </w:r>
    </w:p>
    <w:p>
      <w:pPr>
        <w:spacing w:before="0" w:after="120" w:line="276" w:lineRule="auto"/>
        <w:jc w:val="both"/>
      </w:pPr>
      <w:r>
        <w:rPr>
          <w:rFonts w:ascii="Times New Roman" w:hAnsi="Times New Roman"/>
          <w:color w:val="1E293B"/>
          <w:sz w:val="23"/>
        </w:rPr>
        <w:t>The model was trained on the widely recognized IBM Telco Customer Churn dataset, containing 7,043 unique customer accounts with 21 initial attributes. Data hygiene procedures included:</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Handling Missing Values: </w:t>
      </w:r>
      <w:r>
        <w:rPr>
          <w:rFonts w:ascii="Times New Roman" w:hAnsi="Times New Roman"/>
          <w:color w:val="374151"/>
          <w:sz w:val="23"/>
        </w:rPr>
        <w:t>The TotalCharges feature contained 11 blank whitespace entries corresponding to new customers with tenure = 0. These were imputed with 0.0 to preserve data integrity.</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Binary Feature Binarization: </w:t>
      </w:r>
      <w:r>
        <w:rPr>
          <w:rFonts w:ascii="Times New Roman" w:hAnsi="Times New Roman"/>
          <w:color w:val="374151"/>
          <w:sz w:val="23"/>
        </w:rPr>
        <w:t>Binary categorical variables (Gender, Partner, Dependents, PhoneService, PaperlessBilling) were mapped to discrete integer values (0 and 1).</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Identifier Removal: </w:t>
      </w:r>
      <w:r>
        <w:rPr>
          <w:rFonts w:ascii="Times New Roman" w:hAnsi="Times New Roman"/>
          <w:color w:val="374151"/>
          <w:sz w:val="23"/>
        </w:rPr>
        <w:t>Non-predictive identifier fields (customerID) were eliminated from the feature matrix.</w:t>
      </w:r>
    </w:p>
    <w:p>
      <w:pPr>
        <w:keepNext/>
        <w:spacing w:before="200" w:after="80"/>
      </w:pPr>
      <w:r>
        <w:rPr>
          <w:rFonts w:ascii="Times New Roman" w:hAnsi="Times New Roman"/>
          <w:b/>
          <w:i/>
          <w:color w:val="334155"/>
          <w:sz w:val="23"/>
        </w:rPr>
        <w:t>3.4.2 Feature Engineering &amp; Transformation Matrix</w:t>
      </w:r>
    </w:p>
    <w:p>
      <w:pPr>
        <w:spacing w:before="0" w:after="120" w:line="276" w:lineRule="auto"/>
        <w:jc w:val="both"/>
      </w:pPr>
      <w:r>
        <w:rPr>
          <w:rFonts w:ascii="Times New Roman" w:hAnsi="Times New Roman"/>
          <w:color w:val="1E293B"/>
          <w:sz w:val="23"/>
        </w:rPr>
        <w:t>To enable client-side inference, the 19 user-facing inputs must be mapped into the exact 33-dimensional numerical vector expected by the transpiled XGBoost model. This requires one-hot encoding categorical variables and standardizing continuous metrics.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32"/>
        <w:gridCol w:w="2332"/>
        <w:gridCol w:w="2332"/>
        <w:gridCol w:w="2332"/>
      </w:tblGrid>
      <w:tr>
        <w:tc>
          <w:tcPr>
            <w:tcW w:type="dxa" w:w="1152"/>
            <w:shd w:val="clear" w:color="auto" w:fill="F3F4F6"/>
            <w:tcMar>
              <w:top w:w="100" w:type="dxa"/>
              <w:bottom w:w="100" w:type="dxa"/>
              <w:left w:w="150" w:type="dxa"/>
              <w:right w:w="150" w:type="dxa"/>
            </w:tcMar>
          </w:tcPr>
          <w:p>
            <w:pPr>
              <w:jc w:val="center"/>
            </w:pPr>
            <w:r>
              <w:rPr>
                <w:rFonts w:ascii="Times New Roman" w:hAnsi="Times New Roman"/>
                <w:b/>
                <w:sz w:val="20"/>
              </w:rPr>
              <w:t>Index</w:t>
            </w:r>
          </w:p>
        </w:tc>
        <w:tc>
          <w:tcPr>
            <w:tcW w:type="dxa" w:w="2592"/>
            <w:shd w:val="clear" w:color="auto" w:fill="F3F4F6"/>
            <w:tcMar>
              <w:top w:w="100" w:type="dxa"/>
              <w:bottom w:w="100" w:type="dxa"/>
              <w:left w:w="150" w:type="dxa"/>
              <w:right w:w="150" w:type="dxa"/>
            </w:tcMar>
          </w:tcPr>
          <w:p>
            <w:pPr>
              <w:jc w:val="left"/>
            </w:pPr>
            <w:r>
              <w:rPr>
                <w:rFonts w:ascii="Times New Roman" w:hAnsi="Times New Roman"/>
                <w:b/>
                <w:sz w:val="20"/>
              </w:rPr>
              <w:t>Feature Name</w:t>
            </w:r>
          </w:p>
        </w:tc>
        <w:tc>
          <w:tcPr>
            <w:tcW w:type="dxa" w:w="2016"/>
            <w:shd w:val="clear" w:color="auto" w:fill="F3F4F6"/>
            <w:tcMar>
              <w:top w:w="100" w:type="dxa"/>
              <w:bottom w:w="100" w:type="dxa"/>
              <w:left w:w="150" w:type="dxa"/>
              <w:right w:w="150" w:type="dxa"/>
            </w:tcMar>
          </w:tcPr>
          <w:p>
            <w:pPr>
              <w:jc w:val="center"/>
            </w:pPr>
            <w:r>
              <w:rPr>
                <w:rFonts w:ascii="Times New Roman" w:hAnsi="Times New Roman"/>
                <w:b/>
                <w:sz w:val="20"/>
              </w:rPr>
              <w:t>Encoding Type</w:t>
            </w:r>
          </w:p>
        </w:tc>
        <w:tc>
          <w:tcPr>
            <w:tcW w:type="dxa" w:w="3600"/>
            <w:shd w:val="clear" w:color="auto" w:fill="F3F4F6"/>
            <w:tcMar>
              <w:top w:w="100" w:type="dxa"/>
              <w:bottom w:w="100" w:type="dxa"/>
              <w:left w:w="150" w:type="dxa"/>
              <w:right w:w="150" w:type="dxa"/>
            </w:tcMar>
          </w:tcPr>
          <w:p>
            <w:pPr>
              <w:jc w:val="left"/>
            </w:pPr>
            <w:r>
              <w:rPr>
                <w:rFonts w:ascii="Times New Roman" w:hAnsi="Times New Roman"/>
                <w:b/>
                <w:sz w:val="20"/>
              </w:rPr>
              <w:t>Domain / Mapping Range</w:t>
            </w:r>
          </w:p>
        </w:tc>
      </w:tr>
      <w:tr>
        <w:tc>
          <w:tcPr>
            <w:tcW w:type="dxa" w:w="1152"/>
            <w:tcMar>
              <w:top w:w="60" w:type="dxa"/>
              <w:bottom w:w="60" w:type="dxa"/>
              <w:left w:w="150" w:type="dxa"/>
              <w:right w:w="150" w:type="dxa"/>
            </w:tcMar>
          </w:tcPr>
          <w:p>
            <w:pPr>
              <w:jc w:val="center"/>
            </w:pPr>
            <w:r>
              <w:rPr>
                <w:rFonts w:ascii="Times New Roman" w:hAnsi="Times New Roman"/>
                <w:sz w:val="19"/>
              </w:rPr>
              <w:t>0</w:t>
            </w:r>
          </w:p>
        </w:tc>
        <w:tc>
          <w:tcPr>
            <w:tcW w:type="dxa" w:w="2592"/>
            <w:tcMar>
              <w:top w:w="60" w:type="dxa"/>
              <w:bottom w:w="60" w:type="dxa"/>
              <w:left w:w="150" w:type="dxa"/>
              <w:right w:w="150" w:type="dxa"/>
            </w:tcMar>
          </w:tcPr>
          <w:p>
            <w:pPr>
              <w:jc w:val="left"/>
            </w:pPr>
            <w:r>
              <w:rPr>
                <w:rFonts w:ascii="Times New Roman" w:hAnsi="Times New Roman"/>
                <w:sz w:val="19"/>
              </w:rPr>
              <w:t>gender</w:t>
            </w:r>
          </w:p>
        </w:tc>
        <w:tc>
          <w:tcPr>
            <w:tcW w:type="dxa" w:w="2016"/>
            <w:tcMar>
              <w:top w:w="60" w:type="dxa"/>
              <w:bottom w:w="60" w:type="dxa"/>
              <w:left w:w="150" w:type="dxa"/>
              <w:right w:w="150" w:type="dxa"/>
            </w:tcMar>
          </w:tcPr>
          <w:p>
            <w:pPr>
              <w:jc w:val="center"/>
            </w:pPr>
            <w:r>
              <w:rPr>
                <w:rFonts w:ascii="Times New Roman" w:hAnsi="Times New Roman"/>
                <w:sz w:val="19"/>
              </w:rPr>
              <w:t>Binary</w:t>
            </w:r>
          </w:p>
        </w:tc>
        <w:tc>
          <w:tcPr>
            <w:tcW w:type="dxa" w:w="3600"/>
            <w:tcMar>
              <w:top w:w="60" w:type="dxa"/>
              <w:bottom w:w="60" w:type="dxa"/>
              <w:left w:w="150" w:type="dxa"/>
              <w:right w:w="150" w:type="dxa"/>
            </w:tcMar>
          </w:tcPr>
          <w:p>
            <w:pPr>
              <w:jc w:val="left"/>
            </w:pPr>
            <w:r>
              <w:rPr>
                <w:rFonts w:ascii="Times New Roman" w:hAnsi="Times New Roman"/>
                <w:sz w:val="19"/>
              </w:rPr>
              <w:t>Female: 0, Male: 1</w:t>
            </w:r>
          </w:p>
        </w:tc>
      </w:tr>
      <w:tr>
        <w:tc>
          <w:tcPr>
            <w:tcW w:type="dxa" w:w="1152"/>
            <w:tcMar>
              <w:top w:w="60" w:type="dxa"/>
              <w:bottom w:w="60" w:type="dxa"/>
              <w:left w:w="150" w:type="dxa"/>
              <w:right w:w="150" w:type="dxa"/>
            </w:tcMar>
          </w:tcPr>
          <w:p>
            <w:pPr>
              <w:jc w:val="center"/>
            </w:pPr>
            <w:r>
              <w:rPr>
                <w:rFonts w:ascii="Times New Roman" w:hAnsi="Times New Roman"/>
                <w:sz w:val="19"/>
              </w:rPr>
              <w:t>1</w:t>
            </w:r>
          </w:p>
        </w:tc>
        <w:tc>
          <w:tcPr>
            <w:tcW w:type="dxa" w:w="2592"/>
            <w:tcMar>
              <w:top w:w="60" w:type="dxa"/>
              <w:bottom w:w="60" w:type="dxa"/>
              <w:left w:w="150" w:type="dxa"/>
              <w:right w:w="150" w:type="dxa"/>
            </w:tcMar>
          </w:tcPr>
          <w:p>
            <w:pPr>
              <w:jc w:val="left"/>
            </w:pPr>
            <w:r>
              <w:rPr>
                <w:rFonts w:ascii="Times New Roman" w:hAnsi="Times New Roman"/>
                <w:sz w:val="19"/>
              </w:rPr>
              <w:t>SeniorCitizen</w:t>
            </w:r>
          </w:p>
        </w:tc>
        <w:tc>
          <w:tcPr>
            <w:tcW w:type="dxa" w:w="2016"/>
            <w:tcMar>
              <w:top w:w="60" w:type="dxa"/>
              <w:bottom w:w="60" w:type="dxa"/>
              <w:left w:w="150" w:type="dxa"/>
              <w:right w:w="150" w:type="dxa"/>
            </w:tcMar>
          </w:tcPr>
          <w:p>
            <w:pPr>
              <w:jc w:val="center"/>
            </w:pPr>
            <w:r>
              <w:rPr>
                <w:rFonts w:ascii="Times New Roman" w:hAnsi="Times New Roman"/>
                <w:sz w:val="19"/>
              </w:rPr>
              <w:t>Binary</w:t>
            </w:r>
          </w:p>
        </w:tc>
        <w:tc>
          <w:tcPr>
            <w:tcW w:type="dxa" w:w="3600"/>
            <w:tcMar>
              <w:top w:w="60" w:type="dxa"/>
              <w:bottom w:w="60" w:type="dxa"/>
              <w:left w:w="150" w:type="dxa"/>
              <w:right w:w="150" w:type="dxa"/>
            </w:tcMar>
          </w:tcPr>
          <w:p>
            <w:pPr>
              <w:jc w:val="left"/>
            </w:pPr>
            <w:r>
              <w:rPr>
                <w:rFonts w:ascii="Times New Roman" w:hAnsi="Times New Roman"/>
                <w:sz w:val="19"/>
              </w:rPr>
              <w:t>No: 0, Yes: 1</w:t>
            </w:r>
          </w:p>
        </w:tc>
      </w:tr>
      <w:tr>
        <w:tc>
          <w:tcPr>
            <w:tcW w:type="dxa" w:w="1152"/>
            <w:tcMar>
              <w:top w:w="60" w:type="dxa"/>
              <w:bottom w:w="60" w:type="dxa"/>
              <w:left w:w="150" w:type="dxa"/>
              <w:right w:w="150" w:type="dxa"/>
            </w:tcMar>
          </w:tcPr>
          <w:p>
            <w:pPr>
              <w:jc w:val="center"/>
            </w:pPr>
            <w:r>
              <w:rPr>
                <w:rFonts w:ascii="Times New Roman" w:hAnsi="Times New Roman"/>
                <w:sz w:val="19"/>
              </w:rPr>
              <w:t>2</w:t>
            </w:r>
          </w:p>
        </w:tc>
        <w:tc>
          <w:tcPr>
            <w:tcW w:type="dxa" w:w="2592"/>
            <w:tcMar>
              <w:top w:w="60" w:type="dxa"/>
              <w:bottom w:w="60" w:type="dxa"/>
              <w:left w:w="150" w:type="dxa"/>
              <w:right w:w="150" w:type="dxa"/>
            </w:tcMar>
          </w:tcPr>
          <w:p>
            <w:pPr>
              <w:jc w:val="left"/>
            </w:pPr>
            <w:r>
              <w:rPr>
                <w:rFonts w:ascii="Times New Roman" w:hAnsi="Times New Roman"/>
                <w:sz w:val="19"/>
              </w:rPr>
              <w:t>Partner</w:t>
            </w:r>
          </w:p>
        </w:tc>
        <w:tc>
          <w:tcPr>
            <w:tcW w:type="dxa" w:w="2016"/>
            <w:tcMar>
              <w:top w:w="60" w:type="dxa"/>
              <w:bottom w:w="60" w:type="dxa"/>
              <w:left w:w="150" w:type="dxa"/>
              <w:right w:w="150" w:type="dxa"/>
            </w:tcMar>
          </w:tcPr>
          <w:p>
            <w:pPr>
              <w:jc w:val="center"/>
            </w:pPr>
            <w:r>
              <w:rPr>
                <w:rFonts w:ascii="Times New Roman" w:hAnsi="Times New Roman"/>
                <w:sz w:val="19"/>
              </w:rPr>
              <w:t>Binary</w:t>
            </w:r>
          </w:p>
        </w:tc>
        <w:tc>
          <w:tcPr>
            <w:tcW w:type="dxa" w:w="3600"/>
            <w:tcMar>
              <w:top w:w="60" w:type="dxa"/>
              <w:bottom w:w="60" w:type="dxa"/>
              <w:left w:w="150" w:type="dxa"/>
              <w:right w:w="150" w:type="dxa"/>
            </w:tcMar>
          </w:tcPr>
          <w:p>
            <w:pPr>
              <w:jc w:val="left"/>
            </w:pPr>
            <w:r>
              <w:rPr>
                <w:rFonts w:ascii="Times New Roman" w:hAnsi="Times New Roman"/>
                <w:sz w:val="19"/>
              </w:rPr>
              <w:t>No: 0, Yes: 1</w:t>
            </w:r>
          </w:p>
        </w:tc>
      </w:tr>
      <w:tr>
        <w:tc>
          <w:tcPr>
            <w:tcW w:type="dxa" w:w="1152"/>
            <w:tcMar>
              <w:top w:w="60" w:type="dxa"/>
              <w:bottom w:w="60" w:type="dxa"/>
              <w:left w:w="150" w:type="dxa"/>
              <w:right w:w="150" w:type="dxa"/>
            </w:tcMar>
          </w:tcPr>
          <w:p>
            <w:pPr>
              <w:jc w:val="center"/>
            </w:pPr>
            <w:r>
              <w:rPr>
                <w:rFonts w:ascii="Times New Roman" w:hAnsi="Times New Roman"/>
                <w:sz w:val="19"/>
              </w:rPr>
              <w:t>3</w:t>
            </w:r>
          </w:p>
        </w:tc>
        <w:tc>
          <w:tcPr>
            <w:tcW w:type="dxa" w:w="2592"/>
            <w:tcMar>
              <w:top w:w="60" w:type="dxa"/>
              <w:bottom w:w="60" w:type="dxa"/>
              <w:left w:w="150" w:type="dxa"/>
              <w:right w:w="150" w:type="dxa"/>
            </w:tcMar>
          </w:tcPr>
          <w:p>
            <w:pPr>
              <w:jc w:val="left"/>
            </w:pPr>
            <w:r>
              <w:rPr>
                <w:rFonts w:ascii="Times New Roman" w:hAnsi="Times New Roman"/>
                <w:sz w:val="19"/>
              </w:rPr>
              <w:t>Dependents</w:t>
            </w:r>
          </w:p>
        </w:tc>
        <w:tc>
          <w:tcPr>
            <w:tcW w:type="dxa" w:w="2016"/>
            <w:tcMar>
              <w:top w:w="60" w:type="dxa"/>
              <w:bottom w:w="60" w:type="dxa"/>
              <w:left w:w="150" w:type="dxa"/>
              <w:right w:w="150" w:type="dxa"/>
            </w:tcMar>
          </w:tcPr>
          <w:p>
            <w:pPr>
              <w:jc w:val="center"/>
            </w:pPr>
            <w:r>
              <w:rPr>
                <w:rFonts w:ascii="Times New Roman" w:hAnsi="Times New Roman"/>
                <w:sz w:val="19"/>
              </w:rPr>
              <w:t>Binary</w:t>
            </w:r>
          </w:p>
        </w:tc>
        <w:tc>
          <w:tcPr>
            <w:tcW w:type="dxa" w:w="3600"/>
            <w:tcMar>
              <w:top w:w="60" w:type="dxa"/>
              <w:bottom w:w="60" w:type="dxa"/>
              <w:left w:w="150" w:type="dxa"/>
              <w:right w:w="150" w:type="dxa"/>
            </w:tcMar>
          </w:tcPr>
          <w:p>
            <w:pPr>
              <w:jc w:val="left"/>
            </w:pPr>
            <w:r>
              <w:rPr>
                <w:rFonts w:ascii="Times New Roman" w:hAnsi="Times New Roman"/>
                <w:sz w:val="19"/>
              </w:rPr>
              <w:t>No: 0, Yes: 1</w:t>
            </w:r>
          </w:p>
        </w:tc>
      </w:tr>
      <w:tr>
        <w:tc>
          <w:tcPr>
            <w:tcW w:type="dxa" w:w="1152"/>
            <w:tcMar>
              <w:top w:w="60" w:type="dxa"/>
              <w:bottom w:w="60" w:type="dxa"/>
              <w:left w:w="150" w:type="dxa"/>
              <w:right w:w="150" w:type="dxa"/>
            </w:tcMar>
          </w:tcPr>
          <w:p>
            <w:pPr>
              <w:jc w:val="center"/>
            </w:pPr>
            <w:r>
              <w:rPr>
                <w:rFonts w:ascii="Times New Roman" w:hAnsi="Times New Roman"/>
                <w:sz w:val="19"/>
              </w:rPr>
              <w:t>4</w:t>
            </w:r>
          </w:p>
        </w:tc>
        <w:tc>
          <w:tcPr>
            <w:tcW w:type="dxa" w:w="2592"/>
            <w:tcMar>
              <w:top w:w="60" w:type="dxa"/>
              <w:bottom w:w="60" w:type="dxa"/>
              <w:left w:w="150" w:type="dxa"/>
              <w:right w:w="150" w:type="dxa"/>
            </w:tcMar>
          </w:tcPr>
          <w:p>
            <w:pPr>
              <w:jc w:val="left"/>
            </w:pPr>
            <w:r>
              <w:rPr>
                <w:rFonts w:ascii="Times New Roman" w:hAnsi="Times New Roman"/>
                <w:sz w:val="19"/>
              </w:rPr>
              <w:t>tenure</w:t>
            </w:r>
          </w:p>
        </w:tc>
        <w:tc>
          <w:tcPr>
            <w:tcW w:type="dxa" w:w="2016"/>
            <w:tcMar>
              <w:top w:w="60" w:type="dxa"/>
              <w:bottom w:w="60" w:type="dxa"/>
              <w:left w:w="150" w:type="dxa"/>
              <w:right w:w="150" w:type="dxa"/>
            </w:tcMar>
          </w:tcPr>
          <w:p>
            <w:pPr>
              <w:jc w:val="center"/>
            </w:pPr>
            <w:r>
              <w:rPr>
                <w:rFonts w:ascii="Times New Roman" w:hAnsi="Times New Roman"/>
                <w:sz w:val="19"/>
              </w:rPr>
              <w:t>Continuous</w:t>
            </w:r>
          </w:p>
        </w:tc>
        <w:tc>
          <w:tcPr>
            <w:tcW w:type="dxa" w:w="3600"/>
            <w:tcMar>
              <w:top w:w="60" w:type="dxa"/>
              <w:bottom w:w="60" w:type="dxa"/>
              <w:left w:w="150" w:type="dxa"/>
              <w:right w:w="150" w:type="dxa"/>
            </w:tcMar>
          </w:tcPr>
          <w:p>
            <w:pPr>
              <w:jc w:val="left"/>
            </w:pPr>
            <w:r>
              <w:rPr>
                <w:rFonts w:ascii="Times New Roman" w:hAnsi="Times New Roman"/>
                <w:sz w:val="19"/>
              </w:rPr>
              <w:t>Normalized tenure in months (0 - 72)</w:t>
            </w:r>
          </w:p>
        </w:tc>
      </w:tr>
      <w:tr>
        <w:tc>
          <w:tcPr>
            <w:tcW w:type="dxa" w:w="1152"/>
            <w:tcMar>
              <w:top w:w="60" w:type="dxa"/>
              <w:bottom w:w="60" w:type="dxa"/>
              <w:left w:w="150" w:type="dxa"/>
              <w:right w:w="150" w:type="dxa"/>
            </w:tcMar>
          </w:tcPr>
          <w:p>
            <w:pPr>
              <w:jc w:val="center"/>
            </w:pPr>
            <w:r>
              <w:rPr>
                <w:rFonts w:ascii="Times New Roman" w:hAnsi="Times New Roman"/>
                <w:sz w:val="19"/>
              </w:rPr>
              <w:t>5</w:t>
            </w:r>
          </w:p>
        </w:tc>
        <w:tc>
          <w:tcPr>
            <w:tcW w:type="dxa" w:w="2592"/>
            <w:tcMar>
              <w:top w:w="60" w:type="dxa"/>
              <w:bottom w:w="60" w:type="dxa"/>
              <w:left w:w="150" w:type="dxa"/>
              <w:right w:w="150" w:type="dxa"/>
            </w:tcMar>
          </w:tcPr>
          <w:p>
            <w:pPr>
              <w:jc w:val="left"/>
            </w:pPr>
            <w:r>
              <w:rPr>
                <w:rFonts w:ascii="Times New Roman" w:hAnsi="Times New Roman"/>
                <w:sz w:val="19"/>
              </w:rPr>
              <w:t>PhoneService</w:t>
            </w:r>
          </w:p>
        </w:tc>
        <w:tc>
          <w:tcPr>
            <w:tcW w:type="dxa" w:w="2016"/>
            <w:tcMar>
              <w:top w:w="60" w:type="dxa"/>
              <w:bottom w:w="60" w:type="dxa"/>
              <w:left w:w="150" w:type="dxa"/>
              <w:right w:w="150" w:type="dxa"/>
            </w:tcMar>
          </w:tcPr>
          <w:p>
            <w:pPr>
              <w:jc w:val="center"/>
            </w:pPr>
            <w:r>
              <w:rPr>
                <w:rFonts w:ascii="Times New Roman" w:hAnsi="Times New Roman"/>
                <w:sz w:val="19"/>
              </w:rPr>
              <w:t>Binary</w:t>
            </w:r>
          </w:p>
        </w:tc>
        <w:tc>
          <w:tcPr>
            <w:tcW w:type="dxa" w:w="3600"/>
            <w:tcMar>
              <w:top w:w="60" w:type="dxa"/>
              <w:bottom w:w="60" w:type="dxa"/>
              <w:left w:w="150" w:type="dxa"/>
              <w:right w:w="150" w:type="dxa"/>
            </w:tcMar>
          </w:tcPr>
          <w:p>
            <w:pPr>
              <w:jc w:val="left"/>
            </w:pPr>
            <w:r>
              <w:rPr>
                <w:rFonts w:ascii="Times New Roman" w:hAnsi="Times New Roman"/>
                <w:sz w:val="19"/>
              </w:rPr>
              <w:t>No: 0, Yes: 1</w:t>
            </w:r>
          </w:p>
        </w:tc>
      </w:tr>
      <w:tr>
        <w:tc>
          <w:tcPr>
            <w:tcW w:type="dxa" w:w="1152"/>
            <w:tcMar>
              <w:top w:w="60" w:type="dxa"/>
              <w:bottom w:w="60" w:type="dxa"/>
              <w:left w:w="150" w:type="dxa"/>
              <w:right w:w="150" w:type="dxa"/>
            </w:tcMar>
          </w:tcPr>
          <w:p>
            <w:pPr>
              <w:jc w:val="center"/>
            </w:pPr>
            <w:r>
              <w:rPr>
                <w:rFonts w:ascii="Times New Roman" w:hAnsi="Times New Roman"/>
                <w:sz w:val="19"/>
              </w:rPr>
              <w:t>6 - 7</w:t>
            </w:r>
          </w:p>
        </w:tc>
        <w:tc>
          <w:tcPr>
            <w:tcW w:type="dxa" w:w="2592"/>
            <w:tcMar>
              <w:top w:w="60" w:type="dxa"/>
              <w:bottom w:w="60" w:type="dxa"/>
              <w:left w:w="150" w:type="dxa"/>
              <w:right w:w="150" w:type="dxa"/>
            </w:tcMar>
          </w:tcPr>
          <w:p>
            <w:pPr>
              <w:jc w:val="left"/>
            </w:pPr>
            <w:r>
              <w:rPr>
                <w:rFonts w:ascii="Times New Roman" w:hAnsi="Times New Roman"/>
                <w:sz w:val="19"/>
              </w:rPr>
              <w:t>MultipleLines</w:t>
            </w:r>
          </w:p>
        </w:tc>
        <w:tc>
          <w:tcPr>
            <w:tcW w:type="dxa" w:w="2016"/>
            <w:tcMar>
              <w:top w:w="60" w:type="dxa"/>
              <w:bottom w:w="60" w:type="dxa"/>
              <w:left w:w="150" w:type="dxa"/>
              <w:right w:w="150" w:type="dxa"/>
            </w:tcMar>
          </w:tcPr>
          <w:p>
            <w:pPr>
              <w:jc w:val="center"/>
            </w:pPr>
            <w:r>
              <w:rPr>
                <w:rFonts w:ascii="Times New Roman" w:hAnsi="Times New Roman"/>
                <w:sz w:val="19"/>
              </w:rPr>
              <w:t>One-Hot (2)</w:t>
            </w:r>
          </w:p>
        </w:tc>
        <w:tc>
          <w:tcPr>
            <w:tcW w:type="dxa" w:w="3600"/>
            <w:tcMar>
              <w:top w:w="60" w:type="dxa"/>
              <w:bottom w:w="60" w:type="dxa"/>
              <w:left w:w="150" w:type="dxa"/>
              <w:right w:w="150" w:type="dxa"/>
            </w:tcMar>
          </w:tcPr>
          <w:p>
            <w:pPr>
              <w:jc w:val="left"/>
            </w:pPr>
            <w:r>
              <w:rPr>
                <w:rFonts w:ascii="Times New Roman" w:hAnsi="Times New Roman"/>
                <w:sz w:val="19"/>
              </w:rPr>
              <w:t>No Phone Service, Yes</w:t>
            </w:r>
          </w:p>
        </w:tc>
      </w:tr>
      <w:tr>
        <w:tc>
          <w:tcPr>
            <w:tcW w:type="dxa" w:w="1152"/>
            <w:tcMar>
              <w:top w:w="60" w:type="dxa"/>
              <w:bottom w:w="60" w:type="dxa"/>
              <w:left w:w="150" w:type="dxa"/>
              <w:right w:w="150" w:type="dxa"/>
            </w:tcMar>
          </w:tcPr>
          <w:p>
            <w:pPr>
              <w:jc w:val="center"/>
            </w:pPr>
            <w:r>
              <w:rPr>
                <w:rFonts w:ascii="Times New Roman" w:hAnsi="Times New Roman"/>
                <w:sz w:val="19"/>
              </w:rPr>
              <w:t>8 - 9</w:t>
            </w:r>
          </w:p>
        </w:tc>
        <w:tc>
          <w:tcPr>
            <w:tcW w:type="dxa" w:w="2592"/>
            <w:tcMar>
              <w:top w:w="60" w:type="dxa"/>
              <w:bottom w:w="60" w:type="dxa"/>
              <w:left w:w="150" w:type="dxa"/>
              <w:right w:w="150" w:type="dxa"/>
            </w:tcMar>
          </w:tcPr>
          <w:p>
            <w:pPr>
              <w:jc w:val="left"/>
            </w:pPr>
            <w:r>
              <w:rPr>
                <w:rFonts w:ascii="Times New Roman" w:hAnsi="Times New Roman"/>
                <w:sz w:val="19"/>
              </w:rPr>
              <w:t>InternetService</w:t>
            </w:r>
          </w:p>
        </w:tc>
        <w:tc>
          <w:tcPr>
            <w:tcW w:type="dxa" w:w="2016"/>
            <w:tcMar>
              <w:top w:w="60" w:type="dxa"/>
              <w:bottom w:w="60" w:type="dxa"/>
              <w:left w:w="150" w:type="dxa"/>
              <w:right w:w="150" w:type="dxa"/>
            </w:tcMar>
          </w:tcPr>
          <w:p>
            <w:pPr>
              <w:jc w:val="center"/>
            </w:pPr>
            <w:r>
              <w:rPr>
                <w:rFonts w:ascii="Times New Roman" w:hAnsi="Times New Roman"/>
                <w:sz w:val="19"/>
              </w:rPr>
              <w:t>One-Hot (2)</w:t>
            </w:r>
          </w:p>
        </w:tc>
        <w:tc>
          <w:tcPr>
            <w:tcW w:type="dxa" w:w="3600"/>
            <w:tcMar>
              <w:top w:w="60" w:type="dxa"/>
              <w:bottom w:w="60" w:type="dxa"/>
              <w:left w:w="150" w:type="dxa"/>
              <w:right w:w="150" w:type="dxa"/>
            </w:tcMar>
          </w:tcPr>
          <w:p>
            <w:pPr>
              <w:jc w:val="left"/>
            </w:pPr>
            <w:r>
              <w:rPr>
                <w:rFonts w:ascii="Times New Roman" w:hAnsi="Times New Roman"/>
                <w:sz w:val="19"/>
              </w:rPr>
              <w:t>DSL, Fiber optic (No service baseline)</w:t>
            </w:r>
          </w:p>
        </w:tc>
      </w:tr>
      <w:tr>
        <w:tc>
          <w:tcPr>
            <w:tcW w:type="dxa" w:w="1152"/>
            <w:tcMar>
              <w:top w:w="60" w:type="dxa"/>
              <w:bottom w:w="60" w:type="dxa"/>
              <w:left w:w="150" w:type="dxa"/>
              <w:right w:w="150" w:type="dxa"/>
            </w:tcMar>
          </w:tcPr>
          <w:p>
            <w:pPr>
              <w:jc w:val="center"/>
            </w:pPr>
            <w:r>
              <w:rPr>
                <w:rFonts w:ascii="Times New Roman" w:hAnsi="Times New Roman"/>
                <w:sz w:val="19"/>
              </w:rPr>
              <w:t>10 - 15</w:t>
            </w:r>
          </w:p>
        </w:tc>
        <w:tc>
          <w:tcPr>
            <w:tcW w:type="dxa" w:w="2592"/>
            <w:tcMar>
              <w:top w:w="60" w:type="dxa"/>
              <w:bottom w:w="60" w:type="dxa"/>
              <w:left w:w="150" w:type="dxa"/>
              <w:right w:w="150" w:type="dxa"/>
            </w:tcMar>
          </w:tcPr>
          <w:p>
            <w:pPr>
              <w:jc w:val="left"/>
            </w:pPr>
            <w:r>
              <w:rPr>
                <w:rFonts w:ascii="Times New Roman" w:hAnsi="Times New Roman"/>
                <w:sz w:val="19"/>
              </w:rPr>
              <w:t>Security Add-Ons</w:t>
            </w:r>
          </w:p>
        </w:tc>
        <w:tc>
          <w:tcPr>
            <w:tcW w:type="dxa" w:w="2016"/>
            <w:tcMar>
              <w:top w:w="60" w:type="dxa"/>
              <w:bottom w:w="60" w:type="dxa"/>
              <w:left w:w="150" w:type="dxa"/>
              <w:right w:w="150" w:type="dxa"/>
            </w:tcMar>
          </w:tcPr>
          <w:p>
            <w:pPr>
              <w:jc w:val="center"/>
            </w:pPr>
            <w:r>
              <w:rPr>
                <w:rFonts w:ascii="Times New Roman" w:hAnsi="Times New Roman"/>
                <w:sz w:val="19"/>
              </w:rPr>
              <w:t>One-Hot (6)</w:t>
            </w:r>
          </w:p>
        </w:tc>
        <w:tc>
          <w:tcPr>
            <w:tcW w:type="dxa" w:w="3600"/>
            <w:tcMar>
              <w:top w:w="60" w:type="dxa"/>
              <w:bottom w:w="60" w:type="dxa"/>
              <w:left w:w="150" w:type="dxa"/>
              <w:right w:w="150" w:type="dxa"/>
            </w:tcMar>
          </w:tcPr>
          <w:p>
            <w:pPr>
              <w:jc w:val="left"/>
            </w:pPr>
            <w:r>
              <w:rPr>
                <w:rFonts w:ascii="Times New Roman" w:hAnsi="Times New Roman"/>
                <w:sz w:val="19"/>
              </w:rPr>
              <w:t>OnlineSecurity, Backup, DeviceProtect</w:t>
            </w:r>
          </w:p>
        </w:tc>
      </w:tr>
      <w:tr>
        <w:tc>
          <w:tcPr>
            <w:tcW w:type="dxa" w:w="1152"/>
            <w:tcMar>
              <w:top w:w="60" w:type="dxa"/>
              <w:bottom w:w="60" w:type="dxa"/>
              <w:left w:w="150" w:type="dxa"/>
              <w:right w:w="150" w:type="dxa"/>
            </w:tcMar>
          </w:tcPr>
          <w:p>
            <w:pPr>
              <w:jc w:val="center"/>
            </w:pPr>
            <w:r>
              <w:rPr>
                <w:rFonts w:ascii="Times New Roman" w:hAnsi="Times New Roman"/>
                <w:sz w:val="19"/>
              </w:rPr>
              <w:t>16 - 21</w:t>
            </w:r>
          </w:p>
        </w:tc>
        <w:tc>
          <w:tcPr>
            <w:tcW w:type="dxa" w:w="2592"/>
            <w:tcMar>
              <w:top w:w="60" w:type="dxa"/>
              <w:bottom w:w="60" w:type="dxa"/>
              <w:left w:w="150" w:type="dxa"/>
              <w:right w:w="150" w:type="dxa"/>
            </w:tcMar>
          </w:tcPr>
          <w:p>
            <w:pPr>
              <w:jc w:val="left"/>
            </w:pPr>
            <w:r>
              <w:rPr>
                <w:rFonts w:ascii="Times New Roman" w:hAnsi="Times New Roman"/>
                <w:sz w:val="19"/>
              </w:rPr>
              <w:t>Support &amp; Media</w:t>
            </w:r>
          </w:p>
        </w:tc>
        <w:tc>
          <w:tcPr>
            <w:tcW w:type="dxa" w:w="2016"/>
            <w:tcMar>
              <w:top w:w="60" w:type="dxa"/>
              <w:bottom w:w="60" w:type="dxa"/>
              <w:left w:w="150" w:type="dxa"/>
              <w:right w:w="150" w:type="dxa"/>
            </w:tcMar>
          </w:tcPr>
          <w:p>
            <w:pPr>
              <w:jc w:val="center"/>
            </w:pPr>
            <w:r>
              <w:rPr>
                <w:rFonts w:ascii="Times New Roman" w:hAnsi="Times New Roman"/>
                <w:sz w:val="19"/>
              </w:rPr>
              <w:t>One-Hot (6)</w:t>
            </w:r>
          </w:p>
        </w:tc>
        <w:tc>
          <w:tcPr>
            <w:tcW w:type="dxa" w:w="3600"/>
            <w:tcMar>
              <w:top w:w="60" w:type="dxa"/>
              <w:bottom w:w="60" w:type="dxa"/>
              <w:left w:w="150" w:type="dxa"/>
              <w:right w:w="150" w:type="dxa"/>
            </w:tcMar>
          </w:tcPr>
          <w:p>
            <w:pPr>
              <w:jc w:val="left"/>
            </w:pPr>
            <w:r>
              <w:rPr>
                <w:rFonts w:ascii="Times New Roman" w:hAnsi="Times New Roman"/>
                <w:sz w:val="19"/>
              </w:rPr>
              <w:t>TechSupport, StreamingTV, StreamingMovies</w:t>
            </w:r>
          </w:p>
        </w:tc>
      </w:tr>
      <w:tr>
        <w:tc>
          <w:tcPr>
            <w:tcW w:type="dxa" w:w="1152"/>
            <w:tcMar>
              <w:top w:w="60" w:type="dxa"/>
              <w:bottom w:w="60" w:type="dxa"/>
              <w:left w:w="150" w:type="dxa"/>
              <w:right w:w="150" w:type="dxa"/>
            </w:tcMar>
          </w:tcPr>
          <w:p>
            <w:pPr>
              <w:jc w:val="center"/>
            </w:pPr>
            <w:r>
              <w:rPr>
                <w:rFonts w:ascii="Times New Roman" w:hAnsi="Times New Roman"/>
                <w:sz w:val="19"/>
              </w:rPr>
              <w:t>22 - 24</w:t>
            </w:r>
          </w:p>
        </w:tc>
        <w:tc>
          <w:tcPr>
            <w:tcW w:type="dxa" w:w="2592"/>
            <w:tcMar>
              <w:top w:w="60" w:type="dxa"/>
              <w:bottom w:w="60" w:type="dxa"/>
              <w:left w:w="150" w:type="dxa"/>
              <w:right w:w="150" w:type="dxa"/>
            </w:tcMar>
          </w:tcPr>
          <w:p>
            <w:pPr>
              <w:jc w:val="left"/>
            </w:pPr>
            <w:r>
              <w:rPr>
                <w:rFonts w:ascii="Times New Roman" w:hAnsi="Times New Roman"/>
                <w:sz w:val="19"/>
              </w:rPr>
              <w:t>Contract</w:t>
            </w:r>
          </w:p>
        </w:tc>
        <w:tc>
          <w:tcPr>
            <w:tcW w:type="dxa" w:w="2016"/>
            <w:tcMar>
              <w:top w:w="60" w:type="dxa"/>
              <w:bottom w:w="60" w:type="dxa"/>
              <w:left w:w="150" w:type="dxa"/>
              <w:right w:w="150" w:type="dxa"/>
            </w:tcMar>
          </w:tcPr>
          <w:p>
            <w:pPr>
              <w:jc w:val="center"/>
            </w:pPr>
            <w:r>
              <w:rPr>
                <w:rFonts w:ascii="Times New Roman" w:hAnsi="Times New Roman"/>
                <w:sz w:val="19"/>
              </w:rPr>
              <w:t>One-Hot (3)</w:t>
            </w:r>
          </w:p>
        </w:tc>
        <w:tc>
          <w:tcPr>
            <w:tcW w:type="dxa" w:w="3600"/>
            <w:tcMar>
              <w:top w:w="60" w:type="dxa"/>
              <w:bottom w:w="60" w:type="dxa"/>
              <w:left w:w="150" w:type="dxa"/>
              <w:right w:w="150" w:type="dxa"/>
            </w:tcMar>
          </w:tcPr>
          <w:p>
            <w:pPr>
              <w:jc w:val="left"/>
            </w:pPr>
            <w:r>
              <w:rPr>
                <w:rFonts w:ascii="Times New Roman" w:hAnsi="Times New Roman"/>
                <w:sz w:val="19"/>
              </w:rPr>
              <w:t>Month-to-month, One year, Two year</w:t>
            </w:r>
          </w:p>
        </w:tc>
      </w:tr>
      <w:tr>
        <w:tc>
          <w:tcPr>
            <w:tcW w:type="dxa" w:w="1152"/>
            <w:tcMar>
              <w:top w:w="60" w:type="dxa"/>
              <w:bottom w:w="60" w:type="dxa"/>
              <w:left w:w="150" w:type="dxa"/>
              <w:right w:w="150" w:type="dxa"/>
            </w:tcMar>
          </w:tcPr>
          <w:p>
            <w:pPr>
              <w:jc w:val="center"/>
            </w:pPr>
            <w:r>
              <w:rPr>
                <w:rFonts w:ascii="Times New Roman" w:hAnsi="Times New Roman"/>
                <w:sz w:val="19"/>
              </w:rPr>
              <w:t>25</w:t>
            </w:r>
          </w:p>
        </w:tc>
        <w:tc>
          <w:tcPr>
            <w:tcW w:type="dxa" w:w="2592"/>
            <w:tcMar>
              <w:top w:w="60" w:type="dxa"/>
              <w:bottom w:w="60" w:type="dxa"/>
              <w:left w:w="150" w:type="dxa"/>
              <w:right w:w="150" w:type="dxa"/>
            </w:tcMar>
          </w:tcPr>
          <w:p>
            <w:pPr>
              <w:jc w:val="left"/>
            </w:pPr>
            <w:r>
              <w:rPr>
                <w:rFonts w:ascii="Times New Roman" w:hAnsi="Times New Roman"/>
                <w:sz w:val="19"/>
              </w:rPr>
              <w:t>PaperlessBilling</w:t>
            </w:r>
          </w:p>
        </w:tc>
        <w:tc>
          <w:tcPr>
            <w:tcW w:type="dxa" w:w="2016"/>
            <w:tcMar>
              <w:top w:w="60" w:type="dxa"/>
              <w:bottom w:w="60" w:type="dxa"/>
              <w:left w:w="150" w:type="dxa"/>
              <w:right w:w="150" w:type="dxa"/>
            </w:tcMar>
          </w:tcPr>
          <w:p>
            <w:pPr>
              <w:jc w:val="center"/>
            </w:pPr>
            <w:r>
              <w:rPr>
                <w:rFonts w:ascii="Times New Roman" w:hAnsi="Times New Roman"/>
                <w:sz w:val="19"/>
              </w:rPr>
              <w:t>Binary</w:t>
            </w:r>
          </w:p>
        </w:tc>
        <w:tc>
          <w:tcPr>
            <w:tcW w:type="dxa" w:w="3600"/>
            <w:tcMar>
              <w:top w:w="60" w:type="dxa"/>
              <w:bottom w:w="60" w:type="dxa"/>
              <w:left w:w="150" w:type="dxa"/>
              <w:right w:w="150" w:type="dxa"/>
            </w:tcMar>
          </w:tcPr>
          <w:p>
            <w:pPr>
              <w:jc w:val="left"/>
            </w:pPr>
            <w:r>
              <w:rPr>
                <w:rFonts w:ascii="Times New Roman" w:hAnsi="Times New Roman"/>
                <w:sz w:val="19"/>
              </w:rPr>
              <w:t>No: 0, Yes: 1</w:t>
            </w:r>
          </w:p>
        </w:tc>
      </w:tr>
      <w:tr>
        <w:tc>
          <w:tcPr>
            <w:tcW w:type="dxa" w:w="1152"/>
            <w:tcMar>
              <w:top w:w="60" w:type="dxa"/>
              <w:bottom w:w="60" w:type="dxa"/>
              <w:left w:w="150" w:type="dxa"/>
              <w:right w:w="150" w:type="dxa"/>
            </w:tcMar>
          </w:tcPr>
          <w:p>
            <w:pPr>
              <w:jc w:val="center"/>
            </w:pPr>
            <w:r>
              <w:rPr>
                <w:rFonts w:ascii="Times New Roman" w:hAnsi="Times New Roman"/>
                <w:sz w:val="19"/>
              </w:rPr>
              <w:t>26 - 29</w:t>
            </w:r>
          </w:p>
        </w:tc>
        <w:tc>
          <w:tcPr>
            <w:tcW w:type="dxa" w:w="2592"/>
            <w:tcMar>
              <w:top w:w="60" w:type="dxa"/>
              <w:bottom w:w="60" w:type="dxa"/>
              <w:left w:w="150" w:type="dxa"/>
              <w:right w:w="150" w:type="dxa"/>
            </w:tcMar>
          </w:tcPr>
          <w:p>
            <w:pPr>
              <w:jc w:val="left"/>
            </w:pPr>
            <w:r>
              <w:rPr>
                <w:rFonts w:ascii="Times New Roman" w:hAnsi="Times New Roman"/>
                <w:sz w:val="19"/>
              </w:rPr>
              <w:t>PaymentMethod</w:t>
            </w:r>
          </w:p>
        </w:tc>
        <w:tc>
          <w:tcPr>
            <w:tcW w:type="dxa" w:w="2016"/>
            <w:tcMar>
              <w:top w:w="60" w:type="dxa"/>
              <w:bottom w:w="60" w:type="dxa"/>
              <w:left w:w="150" w:type="dxa"/>
              <w:right w:w="150" w:type="dxa"/>
            </w:tcMar>
          </w:tcPr>
          <w:p>
            <w:pPr>
              <w:jc w:val="center"/>
            </w:pPr>
            <w:r>
              <w:rPr>
                <w:rFonts w:ascii="Times New Roman" w:hAnsi="Times New Roman"/>
                <w:sz w:val="19"/>
              </w:rPr>
              <w:t>One-Hot (4)</w:t>
            </w:r>
          </w:p>
        </w:tc>
        <w:tc>
          <w:tcPr>
            <w:tcW w:type="dxa" w:w="3600"/>
            <w:tcMar>
              <w:top w:w="60" w:type="dxa"/>
              <w:bottom w:w="60" w:type="dxa"/>
              <w:left w:w="150" w:type="dxa"/>
              <w:right w:w="150" w:type="dxa"/>
            </w:tcMar>
          </w:tcPr>
          <w:p>
            <w:pPr>
              <w:jc w:val="left"/>
            </w:pPr>
            <w:r>
              <w:rPr>
                <w:rFonts w:ascii="Times New Roman" w:hAnsi="Times New Roman"/>
                <w:sz w:val="19"/>
              </w:rPr>
              <w:t>Electronic check, Mailed check, Bank transfer, Credit card</w:t>
            </w:r>
          </w:p>
        </w:tc>
      </w:tr>
      <w:tr>
        <w:tc>
          <w:tcPr>
            <w:tcW w:type="dxa" w:w="1152"/>
            <w:tcMar>
              <w:top w:w="60" w:type="dxa"/>
              <w:bottom w:w="60" w:type="dxa"/>
              <w:left w:w="150" w:type="dxa"/>
              <w:right w:w="150" w:type="dxa"/>
            </w:tcMar>
          </w:tcPr>
          <w:p>
            <w:pPr>
              <w:jc w:val="center"/>
            </w:pPr>
            <w:r>
              <w:rPr>
                <w:rFonts w:ascii="Times New Roman" w:hAnsi="Times New Roman"/>
                <w:sz w:val="19"/>
              </w:rPr>
              <w:t>30</w:t>
            </w:r>
          </w:p>
        </w:tc>
        <w:tc>
          <w:tcPr>
            <w:tcW w:type="dxa" w:w="2592"/>
            <w:tcMar>
              <w:top w:w="60" w:type="dxa"/>
              <w:bottom w:w="60" w:type="dxa"/>
              <w:left w:w="150" w:type="dxa"/>
              <w:right w:w="150" w:type="dxa"/>
            </w:tcMar>
          </w:tcPr>
          <w:p>
            <w:pPr>
              <w:jc w:val="left"/>
            </w:pPr>
            <w:r>
              <w:rPr>
                <w:rFonts w:ascii="Times New Roman" w:hAnsi="Times New Roman"/>
                <w:sz w:val="19"/>
              </w:rPr>
              <w:t>MonthlyCharges</w:t>
            </w:r>
          </w:p>
        </w:tc>
        <w:tc>
          <w:tcPr>
            <w:tcW w:type="dxa" w:w="2016"/>
            <w:tcMar>
              <w:top w:w="60" w:type="dxa"/>
              <w:bottom w:w="60" w:type="dxa"/>
              <w:left w:w="150" w:type="dxa"/>
              <w:right w:w="150" w:type="dxa"/>
            </w:tcMar>
          </w:tcPr>
          <w:p>
            <w:pPr>
              <w:jc w:val="center"/>
            </w:pPr>
            <w:r>
              <w:rPr>
                <w:rFonts w:ascii="Times New Roman" w:hAnsi="Times New Roman"/>
                <w:sz w:val="19"/>
              </w:rPr>
              <w:t>Continuous</w:t>
            </w:r>
          </w:p>
        </w:tc>
        <w:tc>
          <w:tcPr>
            <w:tcW w:type="dxa" w:w="3600"/>
            <w:tcMar>
              <w:top w:w="60" w:type="dxa"/>
              <w:bottom w:w="60" w:type="dxa"/>
              <w:left w:w="150" w:type="dxa"/>
              <w:right w:w="150" w:type="dxa"/>
            </w:tcMar>
          </w:tcPr>
          <w:p>
            <w:pPr>
              <w:jc w:val="left"/>
            </w:pPr>
            <w:r>
              <w:rPr>
                <w:rFonts w:ascii="Times New Roman" w:hAnsi="Times New Roman"/>
                <w:sz w:val="19"/>
              </w:rPr>
              <w:t>Monthly bill amount in USD ($18.25 - $118.75)</w:t>
            </w:r>
          </w:p>
        </w:tc>
      </w:tr>
      <w:tr>
        <w:tc>
          <w:tcPr>
            <w:tcW w:type="dxa" w:w="1152"/>
            <w:tcMar>
              <w:top w:w="60" w:type="dxa"/>
              <w:bottom w:w="60" w:type="dxa"/>
              <w:left w:w="150" w:type="dxa"/>
              <w:right w:w="150" w:type="dxa"/>
            </w:tcMar>
          </w:tcPr>
          <w:p>
            <w:pPr>
              <w:jc w:val="center"/>
            </w:pPr>
            <w:r>
              <w:rPr>
                <w:rFonts w:ascii="Times New Roman" w:hAnsi="Times New Roman"/>
                <w:sz w:val="19"/>
              </w:rPr>
              <w:t>31</w:t>
            </w:r>
          </w:p>
        </w:tc>
        <w:tc>
          <w:tcPr>
            <w:tcW w:type="dxa" w:w="2592"/>
            <w:tcMar>
              <w:top w:w="60" w:type="dxa"/>
              <w:bottom w:w="60" w:type="dxa"/>
              <w:left w:w="150" w:type="dxa"/>
              <w:right w:w="150" w:type="dxa"/>
            </w:tcMar>
          </w:tcPr>
          <w:p>
            <w:pPr>
              <w:jc w:val="left"/>
            </w:pPr>
            <w:r>
              <w:rPr>
                <w:rFonts w:ascii="Times New Roman" w:hAnsi="Times New Roman"/>
                <w:sz w:val="19"/>
              </w:rPr>
              <w:t>TotalCharges</w:t>
            </w:r>
          </w:p>
        </w:tc>
        <w:tc>
          <w:tcPr>
            <w:tcW w:type="dxa" w:w="2016"/>
            <w:tcMar>
              <w:top w:w="60" w:type="dxa"/>
              <w:bottom w:w="60" w:type="dxa"/>
              <w:left w:w="150" w:type="dxa"/>
              <w:right w:w="150" w:type="dxa"/>
            </w:tcMar>
          </w:tcPr>
          <w:p>
            <w:pPr>
              <w:jc w:val="center"/>
            </w:pPr>
            <w:r>
              <w:rPr>
                <w:rFonts w:ascii="Times New Roman" w:hAnsi="Times New Roman"/>
                <w:sz w:val="19"/>
              </w:rPr>
              <w:t>Continuous</w:t>
            </w:r>
          </w:p>
        </w:tc>
        <w:tc>
          <w:tcPr>
            <w:tcW w:type="dxa" w:w="3600"/>
            <w:tcMar>
              <w:top w:w="60" w:type="dxa"/>
              <w:bottom w:w="60" w:type="dxa"/>
              <w:left w:w="150" w:type="dxa"/>
              <w:right w:w="150" w:type="dxa"/>
            </w:tcMar>
          </w:tcPr>
          <w:p>
            <w:pPr>
              <w:jc w:val="left"/>
            </w:pPr>
            <w:r>
              <w:rPr>
                <w:rFonts w:ascii="Times New Roman" w:hAnsi="Times New Roman"/>
                <w:sz w:val="19"/>
              </w:rPr>
              <w:t>Cumulative lifetime bill in USD ($18.80 - $8684.80)</w:t>
            </w:r>
          </w:p>
        </w:tc>
      </w:tr>
      <w:tr>
        <w:tc>
          <w:tcPr>
            <w:tcW w:type="dxa" w:w="1152"/>
            <w:tcMar>
              <w:top w:w="60" w:type="dxa"/>
              <w:bottom w:w="60" w:type="dxa"/>
              <w:left w:w="150" w:type="dxa"/>
              <w:right w:w="150" w:type="dxa"/>
            </w:tcMar>
          </w:tcPr>
          <w:p>
            <w:pPr>
              <w:jc w:val="center"/>
            </w:pPr>
            <w:r>
              <w:rPr>
                <w:rFonts w:ascii="Times New Roman" w:hAnsi="Times New Roman"/>
                <w:sz w:val="19"/>
              </w:rPr>
              <w:t>32</w:t>
            </w:r>
          </w:p>
        </w:tc>
        <w:tc>
          <w:tcPr>
            <w:tcW w:type="dxa" w:w="2592"/>
            <w:tcMar>
              <w:top w:w="60" w:type="dxa"/>
              <w:bottom w:w="60" w:type="dxa"/>
              <w:left w:w="150" w:type="dxa"/>
              <w:right w:w="150" w:type="dxa"/>
            </w:tcMar>
          </w:tcPr>
          <w:p>
            <w:pPr>
              <w:jc w:val="left"/>
            </w:pPr>
            <w:r>
              <w:rPr>
                <w:rFonts w:ascii="Times New Roman" w:hAnsi="Times New Roman"/>
                <w:sz w:val="19"/>
              </w:rPr>
              <w:t>MonthlyCharges_to_Total</w:t>
            </w:r>
          </w:p>
        </w:tc>
        <w:tc>
          <w:tcPr>
            <w:tcW w:type="dxa" w:w="2016"/>
            <w:tcMar>
              <w:top w:w="60" w:type="dxa"/>
              <w:bottom w:w="60" w:type="dxa"/>
              <w:left w:w="150" w:type="dxa"/>
              <w:right w:w="150" w:type="dxa"/>
            </w:tcMar>
          </w:tcPr>
          <w:p>
            <w:pPr>
              <w:jc w:val="center"/>
            </w:pPr>
            <w:r>
              <w:rPr>
                <w:rFonts w:ascii="Times New Roman" w:hAnsi="Times New Roman"/>
                <w:sz w:val="19"/>
              </w:rPr>
              <w:t>Engineered Ratio</w:t>
            </w:r>
          </w:p>
        </w:tc>
        <w:tc>
          <w:tcPr>
            <w:tcW w:type="dxa" w:w="3600"/>
            <w:tcMar>
              <w:top w:w="60" w:type="dxa"/>
              <w:bottom w:w="60" w:type="dxa"/>
              <w:left w:w="150" w:type="dxa"/>
              <w:right w:w="150" w:type="dxa"/>
            </w:tcMar>
          </w:tcPr>
          <w:p>
            <w:pPr>
              <w:jc w:val="left"/>
            </w:pPr>
            <w:r>
              <w:rPr>
                <w:rFonts w:ascii="Times New Roman" w:hAnsi="Times New Roman"/>
                <w:sz w:val="19"/>
              </w:rPr>
              <w:t>MonthlyCharges / (TotalCharges + 1.0)</w:t>
            </w:r>
          </w:p>
        </w:tc>
      </w:tr>
    </w:tbl>
    <w:p>
      <w:pPr>
        <w:keepNext/>
        <w:spacing w:before="200" w:after="80"/>
      </w:pPr>
      <w:r>
        <w:rPr>
          <w:rFonts w:ascii="Times New Roman" w:hAnsi="Times New Roman"/>
          <w:b/>
          <w:i/>
          <w:color w:val="334155"/>
          <w:sz w:val="23"/>
        </w:rPr>
        <w:t>3.4.3 Model Evaluation &amp; Algorithm Selection</w:t>
      </w:r>
    </w:p>
    <w:p>
      <w:pPr>
        <w:spacing w:before="0" w:after="120" w:line="276" w:lineRule="auto"/>
        <w:jc w:val="both"/>
      </w:pPr>
      <w:r>
        <w:rPr>
          <w:rFonts w:ascii="Times New Roman" w:hAnsi="Times New Roman"/>
          <w:color w:val="1E293B"/>
          <w:sz w:val="23"/>
        </w:rPr>
        <w:t>During model experimentation, three supervised classification algorithms were trained using 5-fold cross-validation on an 80/20 train-test split: Logistic Regression, Random Forest Classifier, and XGBoost Classifier. Performance was benchmarked across Accuracy, Precision, Recall, F1-Score, and Area Under the ROC Curve (ROC-AUC).</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55"/>
        <w:gridCol w:w="1555"/>
        <w:gridCol w:w="1555"/>
        <w:gridCol w:w="1555"/>
        <w:gridCol w:w="1555"/>
        <w:gridCol w:w="1555"/>
      </w:tblGrid>
      <w:tr>
        <w:tc>
          <w:tcPr>
            <w:tcW w:type="dxa" w:w="2592"/>
            <w:shd w:val="clear" w:color="auto" w:fill="F3F4F6"/>
            <w:tcMar>
              <w:top w:w="100" w:type="dxa"/>
              <w:bottom w:w="100" w:type="dxa"/>
              <w:left w:w="150" w:type="dxa"/>
              <w:right w:w="150" w:type="dxa"/>
            </w:tcMar>
          </w:tcPr>
          <w:p>
            <w:pPr>
              <w:jc w:val="left"/>
            </w:pPr>
            <w:r>
              <w:rPr>
                <w:rFonts w:ascii="Times New Roman" w:hAnsi="Times New Roman"/>
                <w:b/>
                <w:sz w:val="20"/>
              </w:rPr>
              <w:t>Algorithm</w:t>
            </w:r>
          </w:p>
        </w:tc>
        <w:tc>
          <w:tcPr>
            <w:tcW w:type="dxa" w:w="1296"/>
            <w:shd w:val="clear" w:color="auto" w:fill="F3F4F6"/>
            <w:tcMar>
              <w:top w:w="100" w:type="dxa"/>
              <w:bottom w:w="100" w:type="dxa"/>
              <w:left w:w="150" w:type="dxa"/>
              <w:right w:w="150" w:type="dxa"/>
            </w:tcMar>
          </w:tcPr>
          <w:p>
            <w:pPr>
              <w:jc w:val="center"/>
            </w:pPr>
            <w:r>
              <w:rPr>
                <w:rFonts w:ascii="Times New Roman" w:hAnsi="Times New Roman"/>
                <w:b/>
                <w:sz w:val="20"/>
              </w:rPr>
              <w:t>Accuracy</w:t>
            </w:r>
          </w:p>
        </w:tc>
        <w:tc>
          <w:tcPr>
            <w:tcW w:type="dxa" w:w="1296"/>
            <w:shd w:val="clear" w:color="auto" w:fill="F3F4F6"/>
            <w:tcMar>
              <w:top w:w="100" w:type="dxa"/>
              <w:bottom w:w="100" w:type="dxa"/>
              <w:left w:w="150" w:type="dxa"/>
              <w:right w:w="150" w:type="dxa"/>
            </w:tcMar>
          </w:tcPr>
          <w:p>
            <w:pPr>
              <w:jc w:val="center"/>
            </w:pPr>
            <w:r>
              <w:rPr>
                <w:rFonts w:ascii="Times New Roman" w:hAnsi="Times New Roman"/>
                <w:b/>
                <w:sz w:val="20"/>
              </w:rPr>
              <w:t>Precision</w:t>
            </w:r>
          </w:p>
        </w:tc>
        <w:tc>
          <w:tcPr>
            <w:tcW w:type="dxa" w:w="1296"/>
            <w:shd w:val="clear" w:color="auto" w:fill="F3F4F6"/>
            <w:tcMar>
              <w:top w:w="100" w:type="dxa"/>
              <w:bottom w:w="100" w:type="dxa"/>
              <w:left w:w="150" w:type="dxa"/>
              <w:right w:w="150" w:type="dxa"/>
            </w:tcMar>
          </w:tcPr>
          <w:p>
            <w:pPr>
              <w:jc w:val="center"/>
            </w:pPr>
            <w:r>
              <w:rPr>
                <w:rFonts w:ascii="Times New Roman" w:hAnsi="Times New Roman"/>
                <w:b/>
                <w:sz w:val="20"/>
              </w:rPr>
              <w:t>Recall</w:t>
            </w:r>
          </w:p>
        </w:tc>
        <w:tc>
          <w:tcPr>
            <w:tcW w:type="dxa" w:w="1296"/>
            <w:shd w:val="clear" w:color="auto" w:fill="F3F4F6"/>
            <w:tcMar>
              <w:top w:w="100" w:type="dxa"/>
              <w:bottom w:w="100" w:type="dxa"/>
              <w:left w:w="150" w:type="dxa"/>
              <w:right w:w="150" w:type="dxa"/>
            </w:tcMar>
          </w:tcPr>
          <w:p>
            <w:pPr>
              <w:jc w:val="center"/>
            </w:pPr>
            <w:r>
              <w:rPr>
                <w:rFonts w:ascii="Times New Roman" w:hAnsi="Times New Roman"/>
                <w:b/>
                <w:sz w:val="20"/>
              </w:rPr>
              <w:t>F1-Score</w:t>
            </w:r>
          </w:p>
        </w:tc>
        <w:tc>
          <w:tcPr>
            <w:tcW w:type="dxa" w:w="1584"/>
            <w:shd w:val="clear" w:color="auto" w:fill="F3F4F6"/>
            <w:tcMar>
              <w:top w:w="100" w:type="dxa"/>
              <w:bottom w:w="100" w:type="dxa"/>
              <w:left w:w="150" w:type="dxa"/>
              <w:right w:w="150" w:type="dxa"/>
            </w:tcMar>
          </w:tcPr>
          <w:p>
            <w:pPr>
              <w:jc w:val="center"/>
            </w:pPr>
            <w:r>
              <w:rPr>
                <w:rFonts w:ascii="Times New Roman" w:hAnsi="Times New Roman"/>
                <w:b/>
                <w:sz w:val="20"/>
              </w:rPr>
              <w:t>ROC-AUC</w:t>
            </w:r>
          </w:p>
        </w:tc>
      </w:tr>
      <w:tr>
        <w:tc>
          <w:tcPr>
            <w:tcW w:type="dxa" w:w="2592"/>
            <w:tcMar>
              <w:top w:w="70" w:type="dxa"/>
              <w:bottom w:w="70" w:type="dxa"/>
              <w:left w:w="150" w:type="dxa"/>
              <w:right w:w="150" w:type="dxa"/>
            </w:tcMar>
          </w:tcPr>
          <w:p>
            <w:pPr>
              <w:jc w:val="left"/>
            </w:pPr>
            <w:r>
              <w:rPr>
                <w:rFonts w:ascii="Times New Roman" w:hAnsi="Times New Roman"/>
                <w:sz w:val="19"/>
              </w:rPr>
              <w:t>Logistic Regression</w:t>
            </w:r>
          </w:p>
        </w:tc>
        <w:tc>
          <w:tcPr>
            <w:tcW w:type="dxa" w:w="1296"/>
            <w:tcMar>
              <w:top w:w="70" w:type="dxa"/>
              <w:bottom w:w="70" w:type="dxa"/>
              <w:left w:w="150" w:type="dxa"/>
              <w:right w:w="150" w:type="dxa"/>
            </w:tcMar>
          </w:tcPr>
          <w:p>
            <w:pPr>
              <w:jc w:val="center"/>
            </w:pPr>
            <w:r>
              <w:rPr>
                <w:rFonts w:ascii="Times New Roman" w:hAnsi="Times New Roman"/>
                <w:sz w:val="19"/>
              </w:rPr>
              <w:t>80.1%</w:t>
            </w:r>
          </w:p>
        </w:tc>
        <w:tc>
          <w:tcPr>
            <w:tcW w:type="dxa" w:w="1296"/>
            <w:tcMar>
              <w:top w:w="70" w:type="dxa"/>
              <w:bottom w:w="70" w:type="dxa"/>
              <w:left w:w="150" w:type="dxa"/>
              <w:right w:w="150" w:type="dxa"/>
            </w:tcMar>
          </w:tcPr>
          <w:p>
            <w:pPr>
              <w:jc w:val="center"/>
            </w:pPr>
            <w:r>
              <w:rPr>
                <w:rFonts w:ascii="Times New Roman" w:hAnsi="Times New Roman"/>
                <w:sz w:val="19"/>
              </w:rPr>
              <w:t>0.65</w:t>
            </w:r>
          </w:p>
        </w:tc>
        <w:tc>
          <w:tcPr>
            <w:tcW w:type="dxa" w:w="1296"/>
            <w:tcMar>
              <w:top w:w="70" w:type="dxa"/>
              <w:bottom w:w="70" w:type="dxa"/>
              <w:left w:w="150" w:type="dxa"/>
              <w:right w:w="150" w:type="dxa"/>
            </w:tcMar>
          </w:tcPr>
          <w:p>
            <w:pPr>
              <w:jc w:val="center"/>
            </w:pPr>
            <w:r>
              <w:rPr>
                <w:rFonts w:ascii="Times New Roman" w:hAnsi="Times New Roman"/>
                <w:sz w:val="19"/>
              </w:rPr>
              <w:t>0.54</w:t>
            </w:r>
          </w:p>
        </w:tc>
        <w:tc>
          <w:tcPr>
            <w:tcW w:type="dxa" w:w="1296"/>
            <w:tcMar>
              <w:top w:w="70" w:type="dxa"/>
              <w:bottom w:w="70" w:type="dxa"/>
              <w:left w:w="150" w:type="dxa"/>
              <w:right w:w="150" w:type="dxa"/>
            </w:tcMar>
          </w:tcPr>
          <w:p>
            <w:pPr>
              <w:jc w:val="center"/>
            </w:pPr>
            <w:r>
              <w:rPr>
                <w:rFonts w:ascii="Times New Roman" w:hAnsi="Times New Roman"/>
                <w:sz w:val="19"/>
              </w:rPr>
              <w:t>0.59</w:t>
            </w:r>
          </w:p>
        </w:tc>
        <w:tc>
          <w:tcPr>
            <w:tcW w:type="dxa" w:w="1584"/>
            <w:tcMar>
              <w:top w:w="70" w:type="dxa"/>
              <w:bottom w:w="70" w:type="dxa"/>
              <w:left w:w="150" w:type="dxa"/>
              <w:right w:w="150" w:type="dxa"/>
            </w:tcMar>
          </w:tcPr>
          <w:p>
            <w:pPr>
              <w:jc w:val="center"/>
            </w:pPr>
            <w:r>
              <w:rPr>
                <w:rFonts w:ascii="Times New Roman" w:hAnsi="Times New Roman"/>
                <w:sz w:val="19"/>
              </w:rPr>
              <w:t>0.834</w:t>
            </w:r>
          </w:p>
        </w:tc>
      </w:tr>
      <w:tr>
        <w:tc>
          <w:tcPr>
            <w:tcW w:type="dxa" w:w="2592"/>
            <w:tcMar>
              <w:top w:w="70" w:type="dxa"/>
              <w:bottom w:w="70" w:type="dxa"/>
              <w:left w:w="150" w:type="dxa"/>
              <w:right w:w="150" w:type="dxa"/>
            </w:tcMar>
          </w:tcPr>
          <w:p>
            <w:pPr>
              <w:jc w:val="left"/>
            </w:pPr>
            <w:r>
              <w:rPr>
                <w:rFonts w:ascii="Times New Roman" w:hAnsi="Times New Roman"/>
                <w:sz w:val="19"/>
              </w:rPr>
              <w:t>Random Forest (200 Trees)</w:t>
            </w:r>
          </w:p>
        </w:tc>
        <w:tc>
          <w:tcPr>
            <w:tcW w:type="dxa" w:w="1296"/>
            <w:tcMar>
              <w:top w:w="70" w:type="dxa"/>
              <w:bottom w:w="70" w:type="dxa"/>
              <w:left w:w="150" w:type="dxa"/>
              <w:right w:w="150" w:type="dxa"/>
            </w:tcMar>
          </w:tcPr>
          <w:p>
            <w:pPr>
              <w:jc w:val="center"/>
            </w:pPr>
            <w:r>
              <w:rPr>
                <w:rFonts w:ascii="Times New Roman" w:hAnsi="Times New Roman"/>
                <w:sz w:val="19"/>
              </w:rPr>
              <w:t>79.4%</w:t>
            </w:r>
          </w:p>
        </w:tc>
        <w:tc>
          <w:tcPr>
            <w:tcW w:type="dxa" w:w="1296"/>
            <w:tcMar>
              <w:top w:w="70" w:type="dxa"/>
              <w:bottom w:w="70" w:type="dxa"/>
              <w:left w:w="150" w:type="dxa"/>
              <w:right w:w="150" w:type="dxa"/>
            </w:tcMar>
          </w:tcPr>
          <w:p>
            <w:pPr>
              <w:jc w:val="center"/>
            </w:pPr>
            <w:r>
              <w:rPr>
                <w:rFonts w:ascii="Times New Roman" w:hAnsi="Times New Roman"/>
                <w:sz w:val="19"/>
              </w:rPr>
              <w:t>0.63</w:t>
            </w:r>
          </w:p>
        </w:tc>
        <w:tc>
          <w:tcPr>
            <w:tcW w:type="dxa" w:w="1296"/>
            <w:tcMar>
              <w:top w:w="70" w:type="dxa"/>
              <w:bottom w:w="70" w:type="dxa"/>
              <w:left w:w="150" w:type="dxa"/>
              <w:right w:w="150" w:type="dxa"/>
            </w:tcMar>
          </w:tcPr>
          <w:p>
            <w:pPr>
              <w:jc w:val="center"/>
            </w:pPr>
            <w:r>
              <w:rPr>
                <w:rFonts w:ascii="Times New Roman" w:hAnsi="Times New Roman"/>
                <w:sz w:val="19"/>
              </w:rPr>
              <w:t>0.52</w:t>
            </w:r>
          </w:p>
        </w:tc>
        <w:tc>
          <w:tcPr>
            <w:tcW w:type="dxa" w:w="1296"/>
            <w:tcMar>
              <w:top w:w="70" w:type="dxa"/>
              <w:bottom w:w="70" w:type="dxa"/>
              <w:left w:w="150" w:type="dxa"/>
              <w:right w:w="150" w:type="dxa"/>
            </w:tcMar>
          </w:tcPr>
          <w:p>
            <w:pPr>
              <w:jc w:val="center"/>
            </w:pPr>
            <w:r>
              <w:rPr>
                <w:rFonts w:ascii="Times New Roman" w:hAnsi="Times New Roman"/>
                <w:sz w:val="19"/>
              </w:rPr>
              <w:t>0.57</w:t>
            </w:r>
          </w:p>
        </w:tc>
        <w:tc>
          <w:tcPr>
            <w:tcW w:type="dxa" w:w="1584"/>
            <w:tcMar>
              <w:top w:w="70" w:type="dxa"/>
              <w:bottom w:w="70" w:type="dxa"/>
              <w:left w:w="150" w:type="dxa"/>
              <w:right w:w="150" w:type="dxa"/>
            </w:tcMar>
          </w:tcPr>
          <w:p>
            <w:pPr>
              <w:jc w:val="center"/>
            </w:pPr>
            <w:r>
              <w:rPr>
                <w:rFonts w:ascii="Times New Roman" w:hAnsi="Times New Roman"/>
                <w:sz w:val="19"/>
              </w:rPr>
              <w:t>0.826</w:t>
            </w:r>
          </w:p>
        </w:tc>
      </w:tr>
      <w:tr>
        <w:tc>
          <w:tcPr>
            <w:tcW w:type="dxa" w:w="2592"/>
            <w:tcMar>
              <w:top w:w="70" w:type="dxa"/>
              <w:bottom w:w="70" w:type="dxa"/>
              <w:left w:w="150" w:type="dxa"/>
              <w:right w:w="150" w:type="dxa"/>
            </w:tcMar>
          </w:tcPr>
          <w:p>
            <w:pPr>
              <w:jc w:val="left"/>
            </w:pPr>
            <w:r>
              <w:rPr>
                <w:rFonts w:ascii="Times New Roman" w:hAnsi="Times New Roman"/>
                <w:b/>
                <w:sz w:val="19"/>
              </w:rPr>
              <w:t>XGBoost (100 Trees, Tuned)</w:t>
            </w:r>
          </w:p>
        </w:tc>
        <w:tc>
          <w:tcPr>
            <w:tcW w:type="dxa" w:w="1296"/>
            <w:tcMar>
              <w:top w:w="70" w:type="dxa"/>
              <w:bottom w:w="70" w:type="dxa"/>
              <w:left w:w="150" w:type="dxa"/>
              <w:right w:w="150" w:type="dxa"/>
            </w:tcMar>
          </w:tcPr>
          <w:p>
            <w:pPr>
              <w:jc w:val="center"/>
            </w:pPr>
            <w:r>
              <w:rPr>
                <w:rFonts w:ascii="Times New Roman" w:hAnsi="Times New Roman"/>
                <w:b/>
                <w:sz w:val="19"/>
              </w:rPr>
              <w:t>81.6%</w:t>
            </w:r>
          </w:p>
        </w:tc>
        <w:tc>
          <w:tcPr>
            <w:tcW w:type="dxa" w:w="1296"/>
            <w:tcMar>
              <w:top w:w="70" w:type="dxa"/>
              <w:bottom w:w="70" w:type="dxa"/>
              <w:left w:w="150" w:type="dxa"/>
              <w:right w:w="150" w:type="dxa"/>
            </w:tcMar>
          </w:tcPr>
          <w:p>
            <w:pPr>
              <w:jc w:val="center"/>
            </w:pPr>
            <w:r>
              <w:rPr>
                <w:rFonts w:ascii="Times New Roman" w:hAnsi="Times New Roman"/>
                <w:b/>
                <w:sz w:val="19"/>
              </w:rPr>
              <w:t>0.69</w:t>
            </w:r>
          </w:p>
        </w:tc>
        <w:tc>
          <w:tcPr>
            <w:tcW w:type="dxa" w:w="1296"/>
            <w:tcMar>
              <w:top w:w="70" w:type="dxa"/>
              <w:bottom w:w="70" w:type="dxa"/>
              <w:left w:w="150" w:type="dxa"/>
              <w:right w:w="150" w:type="dxa"/>
            </w:tcMar>
          </w:tcPr>
          <w:p>
            <w:pPr>
              <w:jc w:val="center"/>
            </w:pPr>
            <w:r>
              <w:rPr>
                <w:rFonts w:ascii="Times New Roman" w:hAnsi="Times New Roman"/>
                <w:b/>
                <w:sz w:val="19"/>
              </w:rPr>
              <w:t>0.59</w:t>
            </w:r>
          </w:p>
        </w:tc>
        <w:tc>
          <w:tcPr>
            <w:tcW w:type="dxa" w:w="1296"/>
            <w:tcMar>
              <w:top w:w="70" w:type="dxa"/>
              <w:bottom w:w="70" w:type="dxa"/>
              <w:left w:w="150" w:type="dxa"/>
              <w:right w:w="150" w:type="dxa"/>
            </w:tcMar>
          </w:tcPr>
          <w:p>
            <w:pPr>
              <w:jc w:val="center"/>
            </w:pPr>
            <w:r>
              <w:rPr>
                <w:rFonts w:ascii="Times New Roman" w:hAnsi="Times New Roman"/>
                <w:b/>
                <w:sz w:val="19"/>
              </w:rPr>
              <w:t>0.64</w:t>
            </w:r>
          </w:p>
        </w:tc>
        <w:tc>
          <w:tcPr>
            <w:tcW w:type="dxa" w:w="1584"/>
            <w:tcMar>
              <w:top w:w="70" w:type="dxa"/>
              <w:bottom w:w="70" w:type="dxa"/>
              <w:left w:w="150" w:type="dxa"/>
              <w:right w:w="150" w:type="dxa"/>
            </w:tcMar>
          </w:tcPr>
          <w:p>
            <w:pPr>
              <w:jc w:val="center"/>
            </w:pPr>
            <w:r>
              <w:rPr>
                <w:rFonts w:ascii="Times New Roman" w:hAnsi="Times New Roman"/>
                <w:b/>
                <w:sz w:val="19"/>
              </w:rPr>
              <w:t>0.864</w:t>
            </w:r>
          </w:p>
        </w:tc>
      </w:tr>
    </w:tbl>
    <w:p>
      <w:pPr>
        <w:spacing w:before="0" w:after="120" w:line="276" w:lineRule="auto"/>
        <w:jc w:val="both"/>
      </w:pPr>
      <w:r>
        <w:rPr>
          <w:rFonts w:ascii="Times New Roman" w:hAnsi="Times New Roman"/>
          <w:color w:val="1E293B"/>
          <w:sz w:val="23"/>
        </w:rPr>
        <w:t>As demonstrated in the evaluation table, XGBoost achieved superior discriminatory power with an ROC-AUC of 0.864, outperforming Logistic Regression and Random Forest. Crucially, its sequential tree structure minimized false negatives on at-risk subscribers, making it the ideal algorithm for production transpilation.</w:t>
      </w:r>
    </w:p>
    <w:p>
      <w:pPr>
        <w:keepNext/>
        <w:spacing w:before="200" w:after="80"/>
      </w:pPr>
      <w:r>
        <w:rPr>
          <w:rFonts w:ascii="Times New Roman" w:hAnsi="Times New Roman"/>
          <w:b/>
          <w:i/>
          <w:color w:val="334155"/>
          <w:sz w:val="23"/>
        </w:rPr>
        <w:t>3.4.4 Mathematical Formulation of Explainable AI (XAI) Suite</w:t>
      </w:r>
    </w:p>
    <w:p>
      <w:pPr>
        <w:spacing w:before="0" w:after="120" w:line="276" w:lineRule="auto"/>
        <w:jc w:val="both"/>
      </w:pPr>
      <w:r>
        <w:rPr>
          <w:rFonts w:ascii="Times New Roman" w:hAnsi="Times New Roman"/>
          <w:color w:val="1E293B"/>
          <w:sz w:val="23"/>
        </w:rPr>
        <w:t>To ensure transparency in decision-making, ChurnPred implements three proprietary mathematical formulations for explainability:</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Local Feature Attribution (SHAP Waterfall Decomposition): </w:t>
      </w:r>
      <w:r>
        <w:rPr>
          <w:rFonts w:ascii="Times New Roman" w:hAnsi="Times New Roman"/>
          <w:color w:val="374151"/>
          <w:sz w:val="23"/>
        </w:rPr>
        <w:t>The marginal contribution of feature j to the change in log-odds margin score Δz_j is approximated by comparing the customer's feature value against the empirical baseline cohort mean μ_j. The top three positive risk drivers (increasing churn probability) and top two negative retention anchors (anchoring the customer) are extracted and plotted as directional bars.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Six-Axis Account Health Diagnostic Index: </w:t>
      </w:r>
      <w:r>
        <w:rPr>
          <w:rFonts w:ascii="Times New Roman" w:hAnsi="Times New Roman"/>
          <w:color w:val="374151"/>
          <w:sz w:val="23"/>
        </w:rPr>
        <w:t>The customer's 19 attributes are synthesized into six normalized operational health indices, each scaled to [0, 100]:</w:t>
      </w:r>
    </w:p>
    <w:p>
      <w:pPr>
        <w:spacing w:before="120" w:after="120"/>
        <w:jc w:val="center"/>
      </w:pPr>
      <w:r>
        <w:rPr>
          <w:rFonts w:ascii="Cambria Math" w:hAnsi="Cambria Math"/>
          <w:i/>
          <w:color w:val="1E293B"/>
          <w:sz w:val="23"/>
        </w:rPr>
        <w:t>Health_Index = { ContractSecurity, ServiceBreadth, FinancialStability, SupportMaturity, DigitalEngagement, TenureLoyalty }</w:t>
      </w:r>
    </w:p>
    <w:p>
      <w:pPr>
        <w:spacing w:before="0" w:after="120" w:line="276" w:lineRule="auto"/>
        <w:jc w:val="both"/>
      </w:pPr>
      <w:r>
        <w:rPr>
          <w:rFonts w:ascii="Times New Roman" w:hAnsi="Times New Roman"/>
          <w:color w:val="1E293B"/>
          <w:sz w:val="23"/>
        </w:rPr>
        <w:t>Where ContractSecurity evaluates commitment length, ServiceBreadth measures subscribed ecosystem products, FinancialStability rewards automated payment methods, SupportMaturity accounts for Tech Support and Online Security, DigitalEngagement assesses streaming services, and TenureLoyalty normalizes accumulated tenure.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What-If Countermeasure ARR Preserved Formulation: </w:t>
      </w:r>
      <w:r>
        <w:rPr>
          <w:rFonts w:ascii="Times New Roman" w:hAnsi="Times New Roman"/>
          <w:color w:val="374151"/>
          <w:sz w:val="23"/>
        </w:rPr>
        <w:t>When an agent toggles hypothetical interventions (e.g., upgrading contract, adding Tech Support, switching to AutoPay), the model re-evaluates inference instantly to calculate the simulated churn probability P_sim. The preserved Annual Recurring Revenue (ΔARR) is computed as:</w:t>
      </w:r>
    </w:p>
    <w:p>
      <w:pPr>
        <w:spacing w:before="120" w:after="120"/>
        <w:jc w:val="center"/>
      </w:pPr>
      <w:r>
        <w:rPr>
          <w:rFonts w:ascii="Cambria Math" w:hAnsi="Cambria Math"/>
          <w:i/>
          <w:color w:val="1E293B"/>
          <w:sz w:val="23"/>
        </w:rPr>
        <w:t>ΔARR = 12 × MonthlyCharges × ( P_baseline - P_simulated )</w:t>
      </w:r>
    </w:p>
    <w:p>
      <w:pPr>
        <w:keepNext/>
        <w:spacing w:before="280" w:after="120"/>
      </w:pPr>
      <w:r>
        <w:rPr>
          <w:rFonts w:ascii="Times New Roman" w:hAnsi="Times New Roman"/>
          <w:b/>
          <w:color w:val="1E293B"/>
          <w:sz w:val="26"/>
        </w:rPr>
        <w:t>3.5 TESTING AND VALIDATION STRATEGY</w:t>
      </w:r>
    </w:p>
    <w:p>
      <w:pPr>
        <w:spacing w:before="0" w:after="120" w:line="276" w:lineRule="auto"/>
        <w:jc w:val="both"/>
      </w:pPr>
      <w:r>
        <w:rPr>
          <w:rFonts w:ascii="Times New Roman" w:hAnsi="Times New Roman"/>
          <w:color w:val="1E293B"/>
          <w:sz w:val="23"/>
        </w:rPr>
        <w:t>The system underwent rigorous verification across multiple testing vectors: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Numerical Precision Parity: </w:t>
      </w:r>
      <w:r>
        <w:rPr>
          <w:rFonts w:ascii="Times New Roman" w:hAnsi="Times New Roman"/>
          <w:color w:val="374151"/>
          <w:sz w:val="23"/>
        </w:rPr>
        <w:t>A synthetic test suite evaluated 500 diverse customer vectors through both Python Scikit-Learn/XGBoost and the transpiled JavaScript function. Calculated probabilities matched to within 1e-6 precision, confirming exact mathematical transpilation fidelity.</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Batch Stress Testing: </w:t>
      </w:r>
      <w:r>
        <w:rPr>
          <w:rFonts w:ascii="Times New Roman" w:hAnsi="Times New Roman"/>
          <w:color w:val="374151"/>
          <w:sz w:val="23"/>
        </w:rPr>
        <w:t>The batch CSV processor was tested with datasets containing 10, 100, 500, and 2,500 rows. In all cases, client-side parsing and scoring completed within 180 milliseconds without frame drops or memory leaks.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Cross-Browser GPU Context Validation: </w:t>
      </w:r>
      <w:r>
        <w:rPr>
          <w:rFonts w:ascii="Times New Roman" w:hAnsi="Times New Roman"/>
          <w:color w:val="374151"/>
          <w:sz w:val="23"/>
        </w:rPr>
        <w:t>The WebGL OGL liquid-warp canvas was tested across integrated Intel UHD graphics, Apple Silicon GPUs, and dedicated NVIDIA hardware, verifying automatic context loss recovery and locked 60 FPS rendering.</w:t>
      </w:r>
    </w:p>
    <w:p>
      <w:pPr>
        <w:keepNext/>
        <w:pageBreakBefore/>
        <w:spacing w:before="400" w:after="240"/>
        <w:jc w:val="center"/>
      </w:pPr>
      <w:r>
        <w:rPr>
          <w:rFonts w:ascii="Times New Roman" w:hAnsi="Times New Roman"/>
          <w:b/>
          <w:color w:val="0F172A"/>
          <w:sz w:val="32"/>
        </w:rPr>
        <w:t>CHAPTER-4: IMPLEMENTATION</w:t>
      </w:r>
    </w:p>
    <w:p>
      <w:pPr>
        <w:keepNext/>
        <w:spacing w:before="280" w:after="120"/>
      </w:pPr>
      <w:r>
        <w:rPr>
          <w:rFonts w:ascii="Times New Roman" w:hAnsi="Times New Roman"/>
          <w:b/>
          <w:color w:val="1E293B"/>
          <w:sz w:val="26"/>
        </w:rPr>
        <w:t>4.1 FRONTEND COMPONENT ARCHITECTURE</w:t>
      </w:r>
    </w:p>
    <w:p>
      <w:pPr>
        <w:spacing w:before="0" w:after="120" w:line="276" w:lineRule="auto"/>
        <w:jc w:val="both"/>
      </w:pPr>
      <w:r>
        <w:rPr>
          <w:rFonts w:ascii="Times New Roman" w:hAnsi="Times New Roman"/>
          <w:color w:val="1E293B"/>
          <w:sz w:val="23"/>
        </w:rPr>
        <w:t>The implementation translates the architectural specifications into clean, modular React 18 components. State management is organized to allow instantaneous synchronization between input modifications and visual analytics.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SinglePredictor.jsx: </w:t>
      </w:r>
      <w:r>
        <w:rPr>
          <w:rFonts w:ascii="Times New Roman" w:hAnsi="Times New Roman"/>
          <w:color w:val="374151"/>
          <w:sz w:val="23"/>
        </w:rPr>
        <w:t>Implements the 19-attribute input form divided into Demographics, Services, and Billing. Form inputs utilize controlled React state with custom SVG dropdowns and specular cursor tracking. Real-time changes trigger immediate re-scoring via useMemo hooks.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BatchPredictor.jsx: </w:t>
      </w:r>
      <w:r>
        <w:rPr>
          <w:rFonts w:ascii="Times New Roman" w:hAnsi="Times New Roman"/>
          <w:color w:val="374151"/>
          <w:sz w:val="23"/>
        </w:rPr>
        <w:t>Provides an enterprise CSV dropzone supporting drag-and-drop file ingestion. Implements client-side PapaParse CSV parsing, column schema validation, automated row-level inference, and renders the three-tab cohort intelligence suite.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VisualAnalyticsSuite.jsx: </w:t>
      </w:r>
      <w:r>
        <w:rPr>
          <w:rFonts w:ascii="Times New Roman" w:hAnsi="Times New Roman"/>
          <w:color w:val="374151"/>
          <w:sz w:val="23"/>
        </w:rPr>
        <w:t>Houses the SHAP Waterfall feature attribution chart, the 6-Axis Account Health Radar, and the interactive What-If Countermeasure Simulator. Rendered entirely using pure SVG geometry and Tailwind CSS transitions.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ChurnAdvisorChat.jsx: </w:t>
      </w:r>
      <w:r>
        <w:rPr>
          <w:rFonts w:ascii="Times New Roman" w:hAnsi="Times New Roman"/>
          <w:color w:val="374151"/>
          <w:sz w:val="23"/>
        </w:rPr>
        <w:t>A persistent floating conversational console that injects live customer risk telemetry into Google Gemini 2.5 Flash, providing instant retention playbooks, script suggestions, and objection-handling strategies.</w:t>
      </w:r>
    </w:p>
    <w:p>
      <w:pPr>
        <w:keepNext/>
        <w:spacing w:before="280" w:after="120"/>
      </w:pPr>
      <w:r>
        <w:rPr>
          <w:rFonts w:ascii="Times New Roman" w:hAnsi="Times New Roman"/>
          <w:b/>
          <w:color w:val="1E293B"/>
          <w:sz w:val="26"/>
        </w:rPr>
        <w:t>4.2 WEBGL INTEGRATION (OGL 3D LIQUID WARP HERO TITLE)</w:t>
      </w:r>
    </w:p>
    <w:p>
      <w:pPr>
        <w:spacing w:before="0" w:after="120" w:line="276" w:lineRule="auto"/>
        <w:jc w:val="both"/>
      </w:pPr>
      <w:r>
        <w:rPr>
          <w:rFonts w:ascii="Times New Roman" w:hAnsi="Times New Roman"/>
          <w:color w:val="1E293B"/>
          <w:sz w:val="23"/>
        </w:rPr>
        <w:t>The visual centerpiece of the landing interface is the interactive 3D typography header rendered via OGL. Figure 2 illustrates the resting vs. displaced liquid-warp effect reacting to the user's cursor velocity.</w:t>
      </w:r>
    </w:p>
    <w:p>
      <w:pPr>
        <w:keepNext/>
        <w:spacing w:before="200" w:after="80"/>
        <w:jc w:val="center"/>
      </w:pPr>
      <w:r>
        <w:drawing>
          <wp:inline xmlns:a="http://schemas.openxmlformats.org/drawingml/2006/main" xmlns:pic="http://schemas.openxmlformats.org/drawingml/2006/picture">
            <wp:extent cx="5120640" cy="3733800"/>
            <wp:docPr id="2008096420" name="Picture 2008096420"/>
            <wp:cNvGraphicFramePr>
              <a:graphicFrameLocks noChangeAspect="1"/>
            </wp:cNvGraphicFramePr>
            <a:graphic>
              <a:graphicData uri="http://schemas.openxmlformats.org/drawingml/2006/picture">
                <pic:pic>
                  <pic:nvPicPr>
                    <pic:cNvPr id="0" name="ss_liquid_warp_hover.png"/>
                    <pic:cNvPicPr/>
                  </pic:nvPicPr>
                  <pic:blipFill>
                    <a:blip r:embed="rId29"/>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2: </w:t>
      </w:r>
      <w:r>
        <w:rPr>
          <w:rFonts w:ascii="Times New Roman" w:hAnsi="Times New Roman"/>
          <w:i/>
          <w:color w:val="4B5563"/>
          <w:sz w:val="21"/>
        </w:rPr>
        <w:t>Interactive 3D WebGL Liquid Warp Hero Typography</w:t>
      </w:r>
    </w:p>
    <w:p>
      <w:pPr>
        <w:spacing w:before="0" w:after="120" w:line="276" w:lineRule="auto"/>
        <w:jc w:val="both"/>
      </w:pPr>
      <w:r>
        <w:rPr>
          <w:rFonts w:ascii="Times New Roman" w:hAnsi="Times New Roman"/>
          <w:color w:val="1E293B"/>
          <w:sz w:val="23"/>
        </w:rPr>
        <w:t>The WebGL implementation operates through a dedicated React ref attached to a canvas element. Key aspects of the GLSL fragment shader include: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Simplex Noise Displacement: </w:t>
      </w:r>
      <w:r>
        <w:rPr>
          <w:rFonts w:ascii="Times New Roman" w:hAnsi="Times New Roman"/>
          <w:color w:val="374151"/>
          <w:sz w:val="23"/>
        </w:rPr>
        <w:t>Generates pseudo-random procedural turbulence over the typography texture using multi-octave 2D simplex noise functions, creating fluid-like ripples.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Mouse Inertia &amp; Velocity Tracking: </w:t>
      </w:r>
      <w:r>
        <w:rPr>
          <w:rFonts w:ascii="Times New Roman" w:hAnsi="Times New Roman"/>
          <w:color w:val="374151"/>
          <w:sz w:val="23"/>
        </w:rPr>
        <w:t>Mouse coordinate deltas are smoothed via exponential decay filters, transferring kinetic momentum into the shader's uVelocity uniform variable.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Chromatic Aberration: </w:t>
      </w:r>
      <w:r>
        <w:rPr>
          <w:rFonts w:ascii="Times New Roman" w:hAnsi="Times New Roman"/>
          <w:color w:val="374151"/>
          <w:sz w:val="23"/>
        </w:rPr>
        <w:t>Displaces the Red, Green, and Blue texture color channels by variable offsets proportional to cursor velocity, mimicking optical prism refraction.</w:t>
      </w:r>
    </w:p>
    <w:p>
      <w:pPr>
        <w:keepNext/>
        <w:spacing w:before="280" w:after="120"/>
      </w:pPr>
      <w:r>
        <w:rPr>
          <w:rFonts w:ascii="Times New Roman" w:hAnsi="Times New Roman"/>
          <w:b/>
          <w:color w:val="1E293B"/>
          <w:sz w:val="26"/>
        </w:rPr>
        <w:t>4.3 CLIENT-SIDE MACHINE LEARNING EXECUTION ENGINE</w:t>
      </w:r>
    </w:p>
    <w:p>
      <w:pPr>
        <w:spacing w:before="0" w:after="120" w:line="276" w:lineRule="auto"/>
        <w:jc w:val="both"/>
      </w:pPr>
      <w:r>
        <w:rPr>
          <w:rFonts w:ascii="Times New Roman" w:hAnsi="Times New Roman"/>
          <w:color w:val="1E293B"/>
          <w:sz w:val="23"/>
        </w:rPr>
        <w:t>The predictive engine translates user input into actionable risk scores in real time. Figure 3 shows the customer profile data entry interface, and Figure 4 displays the resulting circular probability gauge and risk tier badge.</w:t>
      </w:r>
    </w:p>
    <w:p>
      <w:pPr>
        <w:keepNext/>
        <w:spacing w:before="200" w:after="80"/>
        <w:jc w:val="center"/>
      </w:pPr>
      <w:r>
        <w:drawing>
          <wp:inline xmlns:a="http://schemas.openxmlformats.org/drawingml/2006/main" xmlns:pic="http://schemas.openxmlformats.org/drawingml/2006/picture">
            <wp:extent cx="5120640" cy="3200400"/>
            <wp:docPr id="2008096421" name="Picture 2008096421"/>
            <wp:cNvGraphicFramePr>
              <a:graphicFrameLocks noChangeAspect="1"/>
            </wp:cNvGraphicFramePr>
            <a:graphic>
              <a:graphicData uri="http://schemas.openxmlformats.org/drawingml/2006/picture">
                <pic:pic>
                  <pic:nvPicPr>
                    <pic:cNvPr id="0" name="ss_final_single.png"/>
                    <pic:cNvPicPr/>
                  </pic:nvPicPr>
                  <pic:blipFill>
                    <a:blip r:embed="rId30"/>
                    <a:stretch>
                      <a:fillRect/>
                    </a:stretch>
                  </pic:blipFill>
                  <pic:spPr>
                    <a:xfrm>
                      <a:off x="0" y="0"/>
                      <a:ext cx="5120640" cy="3200400"/>
                    </a:xfrm>
                    <a:prstGeom prst="rect"/>
                  </pic:spPr>
                </pic:pic>
              </a:graphicData>
            </a:graphic>
          </wp:inline>
        </w:drawing>
      </w:r>
    </w:p>
    <w:p>
      <w:pPr>
        <w:spacing w:before="40" w:after="240"/>
        <w:jc w:val="center"/>
      </w:pPr>
      <w:r>
        <w:rPr>
          <w:rFonts w:ascii="Times New Roman" w:hAnsi="Times New Roman"/>
          <w:b/>
          <w:color w:val="1F2937"/>
          <w:sz w:val="21"/>
        </w:rPr>
        <w:t xml:space="preserve">Figure 3: </w:t>
      </w:r>
      <w:r>
        <w:rPr>
          <w:rFonts w:ascii="Times New Roman" w:hAnsi="Times New Roman"/>
          <w:i/>
          <w:color w:val="4B5563"/>
          <w:sz w:val="21"/>
        </w:rPr>
        <w:t>Customer Profile Input Form &amp; Feature Selection Interface</w:t>
      </w:r>
    </w:p>
    <w:p>
      <w:pPr>
        <w:keepNext/>
        <w:spacing w:before="200" w:after="80"/>
        <w:jc w:val="center"/>
      </w:pPr>
      <w:r>
        <w:drawing>
          <wp:inline xmlns:a="http://schemas.openxmlformats.org/drawingml/2006/main" xmlns:pic="http://schemas.openxmlformats.org/drawingml/2006/picture">
            <wp:extent cx="3840480" cy="6066845"/>
            <wp:docPr id="2008096422" name="Picture 20080964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40480" cy="6066845"/>
                    </a:xfrm>
                    <a:prstGeom prst="rect"/>
                  </pic:spPr>
                </pic:pic>
              </a:graphicData>
            </a:graphic>
          </wp:inline>
        </w:drawing>
      </w:r>
    </w:p>
    <w:p>
      <w:pPr>
        <w:spacing w:before="40" w:after="240"/>
        <w:jc w:val="center"/>
      </w:pPr>
      <w:r>
        <w:rPr>
          <w:rFonts w:ascii="Times New Roman" w:hAnsi="Times New Roman"/>
          <w:b/>
          <w:color w:val="1F2937"/>
          <w:sz w:val="21"/>
        </w:rPr>
        <w:t xml:space="preserve">Figure 4: </w:t>
      </w:r>
      <w:r>
        <w:rPr>
          <w:rFonts w:ascii="Times New Roman" w:hAnsi="Times New Roman"/>
          <w:i/>
          <w:color w:val="4B5563"/>
          <w:sz w:val="21"/>
        </w:rPr>
        <w:t>Prediction Result Gauge &amp; Calibrated Risk Tier Classification</w:t>
      </w:r>
    </w:p>
    <w:p>
      <w:pPr>
        <w:spacing w:before="0" w:after="120" w:line="276" w:lineRule="auto"/>
        <w:jc w:val="both"/>
      </w:pPr>
      <w:r>
        <w:rPr>
          <w:rFonts w:ascii="Times New Roman" w:hAnsi="Times New Roman"/>
          <w:color w:val="1E293B"/>
          <w:sz w:val="23"/>
        </w:rPr>
        <w:t>The execution pipeline follows a rigorous four-stage process upon any form change event:</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Stage 1: Input Normalization: </w:t>
      </w:r>
      <w:r>
        <w:rPr>
          <w:rFonts w:ascii="Times New Roman" w:hAnsi="Times New Roman"/>
          <w:color w:val="374151"/>
          <w:sz w:val="23"/>
        </w:rPr>
        <w:t>Controlled input values are extracted from React state and coerced into numeric equivalents.</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Stage 2: 33-Dimension Vector Assembly: </w:t>
      </w:r>
      <w:r>
        <w:rPr>
          <w:rFonts w:ascii="Times New Roman" w:hAnsi="Times New Roman"/>
          <w:color w:val="374151"/>
          <w:sz w:val="23"/>
        </w:rPr>
        <w:t>The categorical dummy variables and scaled continuous variables are assembled into float array featVec.</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Stage 3: Decision Tree Traversal: </w:t>
      </w:r>
      <w:r>
        <w:rPr>
          <w:rFonts w:ascii="Times New Roman" w:hAnsi="Times New Roman"/>
          <w:color w:val="374151"/>
          <w:sz w:val="23"/>
        </w:rPr>
        <w:t>The compiled evaluateXGBoost(featVec) function executes 100 nested decision trees in native JavaScript, returning margin score z.</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Stage 4: Sigmoid &amp; Gauge Animation: </w:t>
      </w:r>
      <w:r>
        <w:rPr>
          <w:rFonts w:ascii="Times New Roman" w:hAnsi="Times New Roman"/>
          <w:color w:val="374151"/>
          <w:sz w:val="23"/>
        </w:rPr>
        <w:t>The logistic sigmoid function converts z to probability P. The circular SVG gauge updates its stroke-dashoffset via CSS transitions, animating to the exact risk level.</w:t>
      </w:r>
    </w:p>
    <w:p>
      <w:pPr>
        <w:keepNext/>
        <w:spacing w:before="280" w:after="120"/>
      </w:pPr>
      <w:r>
        <w:rPr>
          <w:rFonts w:ascii="Times New Roman" w:hAnsi="Times New Roman"/>
          <w:b/>
          <w:color w:val="1E293B"/>
          <w:sz w:val="26"/>
        </w:rPr>
        <w:t>4.4 VISUAL ANALYTICS SUITE &amp; EXPLAINABLE AI</w:t>
      </w:r>
    </w:p>
    <w:p>
      <w:pPr>
        <w:spacing w:before="0" w:after="120" w:line="276" w:lineRule="auto"/>
        <w:jc w:val="both"/>
      </w:pPr>
      <w:r>
        <w:rPr>
          <w:rFonts w:ascii="Times New Roman" w:hAnsi="Times New Roman"/>
          <w:color w:val="1E293B"/>
          <w:sz w:val="23"/>
        </w:rPr>
        <w:t>To transform raw classification numbers into strategic insights, ChurnPred incorporates an exhaustive visual analytics suite for both individual accounts and macro cohorts.</w:t>
      </w:r>
    </w:p>
    <w:p>
      <w:pPr>
        <w:keepNext/>
        <w:spacing w:before="200" w:after="80"/>
      </w:pPr>
      <w:r>
        <w:rPr>
          <w:rFonts w:ascii="Times New Roman" w:hAnsi="Times New Roman"/>
          <w:b/>
          <w:i/>
          <w:color w:val="334155"/>
          <w:sz w:val="23"/>
        </w:rPr>
        <w:t>4.4.1 Single Customer Explainability: SHAP Waterfall &amp; Health Radar</w:t>
      </w:r>
    </w:p>
    <w:p>
      <w:pPr>
        <w:spacing w:before="0" w:after="120" w:line="276" w:lineRule="auto"/>
        <w:jc w:val="both"/>
      </w:pPr>
      <w:r>
        <w:rPr>
          <w:rFonts w:ascii="Times New Roman" w:hAnsi="Times New Roman"/>
          <w:color w:val="1E293B"/>
          <w:sz w:val="23"/>
        </w:rPr>
        <w:t>Figures 5 and 6 display the dynamic SHAP waterfall attribution chart and the 6-axis account health diagnostic radar for an evaluated subscriber.</w:t>
      </w:r>
    </w:p>
    <w:p>
      <w:pPr>
        <w:keepNext/>
        <w:spacing w:before="200" w:after="80"/>
        <w:jc w:val="center"/>
      </w:pPr>
      <w:r>
        <w:drawing>
          <wp:inline xmlns:a="http://schemas.openxmlformats.org/drawingml/2006/main" xmlns:pic="http://schemas.openxmlformats.org/drawingml/2006/picture">
            <wp:extent cx="5120640" cy="3733800"/>
            <wp:docPr id="2008096423" name="Picture 2008096423"/>
            <wp:cNvGraphicFramePr>
              <a:graphicFrameLocks noChangeAspect="1"/>
            </wp:cNvGraphicFramePr>
            <a:graphic>
              <a:graphicData uri="http://schemas.openxmlformats.org/drawingml/2006/picture">
                <pic:pic>
                  <pic:nvPicPr>
                    <pic:cNvPr id="0" name="ss_viz_waterfall.png"/>
                    <pic:cNvPicPr/>
                  </pic:nvPicPr>
                  <pic:blipFill>
                    <a:blip r:embed="rId31"/>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5: </w:t>
      </w:r>
      <w:r>
        <w:rPr>
          <w:rFonts w:ascii="Times New Roman" w:hAnsi="Times New Roman"/>
          <w:i/>
          <w:color w:val="4B5563"/>
          <w:sz w:val="21"/>
        </w:rPr>
        <w:t>Dynamic SHAP Waterfall Feature Attribution Visualization</w:t>
      </w:r>
    </w:p>
    <w:p>
      <w:pPr>
        <w:keepNext/>
        <w:spacing w:before="200" w:after="80"/>
        <w:jc w:val="center"/>
      </w:pPr>
      <w:r>
        <w:drawing>
          <wp:inline xmlns:a="http://schemas.openxmlformats.org/drawingml/2006/main" xmlns:pic="http://schemas.openxmlformats.org/drawingml/2006/picture">
            <wp:extent cx="5120640" cy="3733800"/>
            <wp:docPr id="2008096424" name="Picture 2008096424"/>
            <wp:cNvGraphicFramePr>
              <a:graphicFrameLocks noChangeAspect="1"/>
            </wp:cNvGraphicFramePr>
            <a:graphic>
              <a:graphicData uri="http://schemas.openxmlformats.org/drawingml/2006/picture">
                <pic:pic>
                  <pic:nvPicPr>
                    <pic:cNvPr id="0" name="ss_viz_radar.png"/>
                    <pic:cNvPicPr/>
                  </pic:nvPicPr>
                  <pic:blipFill>
                    <a:blip r:embed="rId32"/>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6: </w:t>
      </w:r>
      <w:r>
        <w:rPr>
          <w:rFonts w:ascii="Times New Roman" w:hAnsi="Times New Roman"/>
          <w:i/>
          <w:color w:val="4B5563"/>
          <w:sz w:val="21"/>
        </w:rPr>
        <w:t>Six-Axis Account Health Diagnostic Radar</w:t>
      </w:r>
    </w:p>
    <w:p>
      <w:pPr>
        <w:spacing w:before="0" w:after="120" w:line="276" w:lineRule="auto"/>
        <w:jc w:val="both"/>
      </w:pPr>
      <w:r>
        <w:rPr>
          <w:rFonts w:ascii="Times New Roman" w:hAnsi="Times New Roman"/>
          <w:color w:val="1E293B"/>
          <w:sz w:val="23"/>
        </w:rPr>
        <w:t>In Figure 5, the SHAP waterfall illustrates that the customer's Month-to-Month Contract (+0.42 log-odds) and Fiber Optic Service (+0.28 log-odds) are the primary drivers escalating churn risk, while accumulated Tenure (-0.18 log-odds) serves as an anchoring retention factor. In Figure 6, the multi-axis radar reveals critical deficits in Contract Security (15/100) and Support Maturity (20/100), providing targeted focal areas for customer success teams.</w:t>
      </w:r>
    </w:p>
    <w:p>
      <w:pPr>
        <w:keepNext/>
        <w:spacing w:before="200" w:after="80"/>
      </w:pPr>
      <w:r>
        <w:rPr>
          <w:rFonts w:ascii="Times New Roman" w:hAnsi="Times New Roman"/>
          <w:b/>
          <w:i/>
          <w:color w:val="334155"/>
          <w:sz w:val="23"/>
        </w:rPr>
        <w:t>4.4.2 Prescriptive What-If Countermeasure ARR Simulator</w:t>
      </w:r>
    </w:p>
    <w:p>
      <w:pPr>
        <w:spacing w:before="0" w:after="120" w:line="276" w:lineRule="auto"/>
        <w:jc w:val="both"/>
      </w:pPr>
      <w:r>
        <w:rPr>
          <w:rFonts w:ascii="Times New Roman" w:hAnsi="Times New Roman"/>
          <w:color w:val="1E293B"/>
          <w:sz w:val="23"/>
        </w:rPr>
        <w:t>Figure 7 illustrates the What-If Countermeasure Simulator, allowing retention agents to test hypothetical contract modifications.</w:t>
      </w:r>
    </w:p>
    <w:p>
      <w:pPr>
        <w:keepNext/>
        <w:spacing w:before="200" w:after="80"/>
        <w:jc w:val="center"/>
      </w:pPr>
      <w:r>
        <w:drawing>
          <wp:inline xmlns:a="http://schemas.openxmlformats.org/drawingml/2006/main" xmlns:pic="http://schemas.openxmlformats.org/drawingml/2006/picture">
            <wp:extent cx="5120640" cy="3733800"/>
            <wp:docPr id="2008096425" name="Picture 2008096425"/>
            <wp:cNvGraphicFramePr>
              <a:graphicFrameLocks noChangeAspect="1"/>
            </wp:cNvGraphicFramePr>
            <a:graphic>
              <a:graphicData uri="http://schemas.openxmlformats.org/drawingml/2006/picture">
                <pic:pic>
                  <pic:nvPicPr>
                    <pic:cNvPr id="0" name="ss_viz_whatif.png"/>
                    <pic:cNvPicPr/>
                  </pic:nvPicPr>
                  <pic:blipFill>
                    <a:blip r:embed="rId33"/>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7: </w:t>
      </w:r>
      <w:r>
        <w:rPr>
          <w:rFonts w:ascii="Times New Roman" w:hAnsi="Times New Roman"/>
          <w:i/>
          <w:color w:val="4B5563"/>
          <w:sz w:val="21"/>
        </w:rPr>
        <w:t>Interactive What-If Countermeasure ARR Simulation Engine</w:t>
      </w:r>
    </w:p>
    <w:p>
      <w:pPr>
        <w:spacing w:before="0" w:after="120" w:line="276" w:lineRule="auto"/>
        <w:jc w:val="both"/>
      </w:pPr>
      <w:r>
        <w:rPr>
          <w:rFonts w:ascii="Times New Roman" w:hAnsi="Times New Roman"/>
          <w:color w:val="1E293B"/>
          <w:sz w:val="23"/>
        </w:rPr>
        <w:t>By simulating an upgrade from Month-to-Month to a 1-Year Contract combined with the addition of Tech Support, the predicted churn probability drops from 84.8% to 22.4% (a 62.4% net reduction). The engine automatically calculates the financial return on this intervention: preserving $635.40 in Annual Recurring Revenue (ARR) for this single subscriber.</w:t>
      </w:r>
    </w:p>
    <w:p>
      <w:pPr>
        <w:keepNext/>
        <w:spacing w:before="200" w:after="80"/>
      </w:pPr>
      <w:r>
        <w:rPr>
          <w:rFonts w:ascii="Times New Roman" w:hAnsi="Times New Roman"/>
          <w:b/>
          <w:i/>
          <w:color w:val="334155"/>
          <w:sz w:val="23"/>
        </w:rPr>
        <w:t>4.4.3 Enterprise Batch Cohort Analytics</w:t>
      </w:r>
    </w:p>
    <w:p>
      <w:pPr>
        <w:spacing w:before="0" w:after="120" w:line="276" w:lineRule="auto"/>
        <w:jc w:val="both"/>
      </w:pPr>
      <w:r>
        <w:rPr>
          <w:rFonts w:ascii="Times New Roman" w:hAnsi="Times New Roman"/>
          <w:color w:val="1E293B"/>
          <w:sz w:val="23"/>
        </w:rPr>
        <w:t>When an enterprise CSV is uploaded, ChurnPred renders three comprehensive analytical tabs: Cohort Risk Deciles (Figure 8), Portfolio Revenue at Risk Scatter Matrix (Figure 9), and Segment Risk Drivers (Figure 10).</w:t>
      </w:r>
    </w:p>
    <w:p>
      <w:pPr>
        <w:keepNext/>
        <w:spacing w:before="200" w:after="80"/>
        <w:jc w:val="center"/>
      </w:pPr>
      <w:r>
        <w:drawing>
          <wp:inline xmlns:a="http://schemas.openxmlformats.org/drawingml/2006/main" xmlns:pic="http://schemas.openxmlformats.org/drawingml/2006/picture">
            <wp:extent cx="5120640" cy="3733800"/>
            <wp:docPr id="2008096426" name="Picture 2008096426"/>
            <wp:cNvGraphicFramePr>
              <a:graphicFrameLocks noChangeAspect="1"/>
            </wp:cNvGraphicFramePr>
            <a:graphic>
              <a:graphicData uri="http://schemas.openxmlformats.org/drawingml/2006/picture">
                <pic:pic>
                  <pic:nvPicPr>
                    <pic:cNvPr id="0" name="ss_batch_tab1_distribution.png"/>
                    <pic:cNvPicPr/>
                  </pic:nvPicPr>
                  <pic:blipFill>
                    <a:blip r:embed="rId34"/>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8: </w:t>
      </w:r>
      <w:r>
        <w:rPr>
          <w:rFonts w:ascii="Times New Roman" w:hAnsi="Times New Roman"/>
          <w:i/>
          <w:color w:val="4B5563"/>
          <w:sz w:val="21"/>
        </w:rPr>
        <w:t>Batch Cohort Risk Decile Distribution &amp; Concentration Donut</w:t>
      </w:r>
    </w:p>
    <w:p>
      <w:pPr>
        <w:keepNext/>
        <w:spacing w:before="200" w:after="80"/>
        <w:jc w:val="center"/>
      </w:pPr>
      <w:r>
        <w:drawing>
          <wp:inline xmlns:a="http://schemas.openxmlformats.org/drawingml/2006/main" xmlns:pic="http://schemas.openxmlformats.org/drawingml/2006/picture">
            <wp:extent cx="5120640" cy="3733800"/>
            <wp:docPr id="2008096427" name="Picture 2008096427"/>
            <wp:cNvGraphicFramePr>
              <a:graphicFrameLocks noChangeAspect="1"/>
            </wp:cNvGraphicFramePr>
            <a:graphic>
              <a:graphicData uri="http://schemas.openxmlformats.org/drawingml/2006/picture">
                <pic:pic>
                  <pic:nvPicPr>
                    <pic:cNvPr id="0" name="ss_batch_tab2_matrix.png"/>
                    <pic:cNvPicPr/>
                  </pic:nvPicPr>
                  <pic:blipFill>
                    <a:blip r:embed="rId35"/>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9: </w:t>
      </w:r>
      <w:r>
        <w:rPr>
          <w:rFonts w:ascii="Times New Roman" w:hAnsi="Times New Roman"/>
          <w:i/>
          <w:color w:val="4B5563"/>
          <w:sz w:val="21"/>
        </w:rPr>
        <w:t>Portfolio Revenue at Risk 4-Quadrant Scatter Matrix</w:t>
      </w:r>
    </w:p>
    <w:p>
      <w:pPr>
        <w:keepNext/>
        <w:spacing w:before="200" w:after="80"/>
        <w:jc w:val="center"/>
      </w:pPr>
      <w:r>
        <w:drawing>
          <wp:inline xmlns:a="http://schemas.openxmlformats.org/drawingml/2006/main" xmlns:pic="http://schemas.openxmlformats.org/drawingml/2006/picture">
            <wp:extent cx="5120640" cy="3733800"/>
            <wp:docPr id="2008096428" name="Picture 2008096428"/>
            <wp:cNvGraphicFramePr>
              <a:graphicFrameLocks noChangeAspect="1"/>
            </wp:cNvGraphicFramePr>
            <a:graphic>
              <a:graphicData uri="http://schemas.openxmlformats.org/drawingml/2006/picture">
                <pic:pic>
                  <pic:nvPicPr>
                    <pic:cNvPr id="0" name="ss_batch_tab3_drivers.png"/>
                    <pic:cNvPicPr/>
                  </pic:nvPicPr>
                  <pic:blipFill>
                    <a:blip r:embed="rId36"/>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10: </w:t>
      </w:r>
      <w:r>
        <w:rPr>
          <w:rFonts w:ascii="Times New Roman" w:hAnsi="Times New Roman"/>
          <w:i/>
          <w:color w:val="4B5563"/>
          <w:sz w:val="21"/>
        </w:rPr>
        <w:t>Segment Risk Drivers &amp; Retention Opportunity Analysis</w:t>
      </w:r>
    </w:p>
    <w:p>
      <w:pPr>
        <w:spacing w:before="0" w:after="120" w:line="276" w:lineRule="auto"/>
        <w:jc w:val="both"/>
      </w:pPr>
      <w:r>
        <w:rPr>
          <w:rFonts w:ascii="Times New Roman" w:hAnsi="Times New Roman"/>
          <w:color w:val="1E293B"/>
          <w:sz w:val="23"/>
        </w:rPr>
        <w:t>These cohort views allow enterprise executives to identify systemic portfolio risks. Figure 9 categorizes subscribers into four quadrants: Protect (High Churn, High Revenue), Retain (High Churn, Low Revenue), Upsell (Low Churn, Low Revenue), and Nurture (Low Churn, High Revenue), enabling prioritized resource allocation.</w:t>
      </w:r>
    </w:p>
    <w:p>
      <w:pPr>
        <w:keepNext/>
        <w:spacing w:before="280" w:after="120"/>
      </w:pPr>
      <w:r>
        <w:rPr>
          <w:rFonts w:ascii="Times New Roman" w:hAnsi="Times New Roman"/>
          <w:b/>
          <w:color w:val="1E293B"/>
          <w:sz w:val="26"/>
        </w:rPr>
        <w:t>4.5 IN-APP AI RETENTION STRATEGIST CHATBOT</w:t>
      </w:r>
    </w:p>
    <w:p>
      <w:pPr>
        <w:spacing w:before="0" w:after="120" w:line="276" w:lineRule="auto"/>
        <w:jc w:val="both"/>
      </w:pPr>
      <w:r>
        <w:rPr>
          <w:rFonts w:ascii="Times New Roman" w:hAnsi="Times New Roman"/>
          <w:color w:val="1E293B"/>
          <w:sz w:val="23"/>
        </w:rPr>
        <w:t>The platform incorporates an intelligent retention copilot embedded directly into the workspace. Figures 11, 12, and 13 illustrate the chatbot interface, its technical explanation of the XGBoost pipeline, and its prescriptive retention strategy for an at-risk customer.</w:t>
      </w:r>
    </w:p>
    <w:p>
      <w:pPr>
        <w:keepNext/>
        <w:spacing w:before="200" w:after="80"/>
        <w:jc w:val="center"/>
      </w:pPr>
      <w:r>
        <w:drawing>
          <wp:inline xmlns:a="http://schemas.openxmlformats.org/drawingml/2006/main" xmlns:pic="http://schemas.openxmlformats.org/drawingml/2006/picture">
            <wp:extent cx="5120640" cy="3733800"/>
            <wp:docPr id="2008096429" name="Picture 2008096429"/>
            <wp:cNvGraphicFramePr>
              <a:graphicFrameLocks noChangeAspect="1"/>
            </wp:cNvGraphicFramePr>
            <a:graphic>
              <a:graphicData uri="http://schemas.openxmlformats.org/drawingml/2006/picture">
                <pic:pic>
                  <pic:nvPicPr>
                    <pic:cNvPr id="0" name="ss_chatbot_open.png"/>
                    <pic:cNvPicPr/>
                  </pic:nvPicPr>
                  <pic:blipFill>
                    <a:blip r:embed="rId37"/>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11: </w:t>
      </w:r>
      <w:r>
        <w:rPr>
          <w:rFonts w:ascii="Times New Roman" w:hAnsi="Times New Roman"/>
          <w:i/>
          <w:color w:val="4B5563"/>
          <w:sz w:val="21"/>
        </w:rPr>
        <w:t>In-App AI Retention Strategist Chatbot Interface</w:t>
      </w:r>
    </w:p>
    <w:p>
      <w:pPr>
        <w:keepNext/>
        <w:spacing w:before="200" w:after="80"/>
        <w:jc w:val="center"/>
      </w:pPr>
      <w:r>
        <w:drawing>
          <wp:inline xmlns:a="http://schemas.openxmlformats.org/drawingml/2006/main" xmlns:pic="http://schemas.openxmlformats.org/drawingml/2006/picture">
            <wp:extent cx="5120640" cy="3733800"/>
            <wp:docPr id="2008096430" name="Picture 2008096430"/>
            <wp:cNvGraphicFramePr>
              <a:graphicFrameLocks noChangeAspect="1"/>
            </wp:cNvGraphicFramePr>
            <a:graphic>
              <a:graphicData uri="http://schemas.openxmlformats.org/drawingml/2006/picture">
                <pic:pic>
                  <pic:nvPicPr>
                    <pic:cNvPr id="0" name="ss_chatbot_answered_xgboost.png"/>
                    <pic:cNvPicPr/>
                  </pic:nvPicPr>
                  <pic:blipFill>
                    <a:blip r:embed="rId38"/>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12: </w:t>
      </w:r>
      <w:r>
        <w:rPr>
          <w:rFonts w:ascii="Times New Roman" w:hAnsi="Times New Roman"/>
          <w:i/>
          <w:color w:val="4B5563"/>
          <w:sz w:val="21"/>
        </w:rPr>
        <w:t>AI Chatbot Technical XGBoost Pipeline Explanation</w:t>
      </w:r>
    </w:p>
    <w:p>
      <w:pPr>
        <w:keepNext/>
        <w:spacing w:before="200" w:after="80"/>
        <w:jc w:val="center"/>
      </w:pPr>
      <w:r>
        <w:drawing>
          <wp:inline xmlns:a="http://schemas.openxmlformats.org/drawingml/2006/main" xmlns:pic="http://schemas.openxmlformats.org/drawingml/2006/picture">
            <wp:extent cx="5120640" cy="3733800"/>
            <wp:docPr id="2008096431" name="Picture 2008096431"/>
            <wp:cNvGraphicFramePr>
              <a:graphicFrameLocks noChangeAspect="1"/>
            </wp:cNvGraphicFramePr>
            <a:graphic>
              <a:graphicData uri="http://schemas.openxmlformats.org/drawingml/2006/picture">
                <pic:pic>
                  <pic:nvPicPr>
                    <pic:cNvPr id="0" name="ss_chatbot_customer_retention.png"/>
                    <pic:cNvPicPr/>
                  </pic:nvPicPr>
                  <pic:blipFill>
                    <a:blip r:embed="rId39"/>
                    <a:stretch>
                      <a:fillRect/>
                    </a:stretch>
                  </pic:blipFill>
                  <pic:spPr>
                    <a:xfrm>
                      <a:off x="0" y="0"/>
                      <a:ext cx="5120640" cy="3733800"/>
                    </a:xfrm>
                    <a:prstGeom prst="rect"/>
                  </pic:spPr>
                </pic:pic>
              </a:graphicData>
            </a:graphic>
          </wp:inline>
        </w:drawing>
      </w:r>
    </w:p>
    <w:p>
      <w:pPr>
        <w:spacing w:before="40" w:after="240"/>
        <w:jc w:val="center"/>
      </w:pPr>
      <w:r>
        <w:rPr>
          <w:rFonts w:ascii="Times New Roman" w:hAnsi="Times New Roman"/>
          <w:b/>
          <w:color w:val="1F2937"/>
          <w:sz w:val="21"/>
        </w:rPr>
        <w:t xml:space="preserve">Figure 13: </w:t>
      </w:r>
      <w:r>
        <w:rPr>
          <w:rFonts w:ascii="Times New Roman" w:hAnsi="Times New Roman"/>
          <w:i/>
          <w:color w:val="4B5563"/>
          <w:sz w:val="21"/>
        </w:rPr>
        <w:t>AI Chatbot Prescriptive Customer Retention Plan</w:t>
      </w:r>
    </w:p>
    <w:p>
      <w:pPr>
        <w:spacing w:before="0" w:after="120" w:line="276" w:lineRule="auto"/>
        <w:jc w:val="both"/>
      </w:pPr>
      <w:r>
        <w:rPr>
          <w:rFonts w:ascii="Times New Roman" w:hAnsi="Times New Roman"/>
          <w:color w:val="1E293B"/>
          <w:sz w:val="23"/>
        </w:rPr>
        <w:t>The chatbot operates via a dual-engine architecture:</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Google GenAI (Gemini 2.5 Flash) Engine: </w:t>
      </w:r>
      <w:r>
        <w:rPr>
          <w:rFonts w:ascii="Times New Roman" w:hAnsi="Times New Roman"/>
          <w:color w:val="374151"/>
          <w:sz w:val="23"/>
        </w:rPr>
        <w:t>When online, prompts are injected with structured JSON context containing customer risk score, tenure, contract type, monthly charges, and top SHAP factors. Gemini generates nuanced, polite, and persuasive customer outreach scripts and promotional packages tailored to the account.</w:t>
      </w:r>
    </w:p>
    <w:p>
      <w:pPr>
        <w:spacing w:before="40" w:after="80" w:line="276" w:lineRule="auto"/>
        <w:ind w:left="360"/>
        <w:jc w:val="both"/>
      </w:pPr>
      <w:r>
        <w:rPr>
          <w:rFonts w:ascii="Times New Roman" w:hAnsi="Times New Roman"/>
          <w:b/>
          <w:color w:val="111827"/>
          <w:sz w:val="23"/>
        </w:rPr>
        <w:t xml:space="preserve">•  </w:t>
      </w:r>
      <w:r>
        <w:rPr>
          <w:rFonts w:ascii="Times New Roman" w:hAnsi="Times New Roman"/>
          <w:b/>
          <w:color w:val="111827"/>
          <w:sz w:val="23"/>
        </w:rPr>
        <w:t xml:space="preserve">Zero-Config Deterministic Heuristic Engine: </w:t>
      </w:r>
      <w:r>
        <w:rPr>
          <w:rFonts w:ascii="Times New Roman" w:hAnsi="Times New Roman"/>
          <w:color w:val="374151"/>
          <w:sz w:val="23"/>
        </w:rPr>
        <w:t>When the backend API key is unavailable or in offline environments, an internal rule-based diagnostic engine parses user intent via regex pattern matching and generates pre-formulated, policy-grounded retention playbooks, guaranteeing 100% feature availability.</w:t>
      </w:r>
    </w:p>
    <w:p>
      <w:pPr>
        <w:keepNext/>
        <w:spacing w:before="280" w:after="120"/>
      </w:pPr>
      <w:r>
        <w:rPr>
          <w:rFonts w:ascii="Times New Roman" w:hAnsi="Times New Roman"/>
          <w:b/>
          <w:color w:val="1E293B"/>
          <w:sz w:val="26"/>
        </w:rPr>
        <w:t>4.6 TESTING, DEBUGGING &amp; PRODUCTION DEPLOYMENT</w:t>
      </w:r>
    </w:p>
    <w:p>
      <w:pPr>
        <w:spacing w:before="0" w:after="120" w:line="276" w:lineRule="auto"/>
        <w:jc w:val="both"/>
      </w:pPr>
      <w:r>
        <w:rPr>
          <w:rFonts w:ascii="Times New Roman" w:hAnsi="Times New Roman"/>
          <w:color w:val="1E293B"/>
          <w:sz w:val="23"/>
        </w:rPr>
        <w:t>The application was validated through automated test scripts, unit tests, and performance audits in Google Chrome DevTools. Google Lighthouse performance audits yielded an overall score of 98/100, zero Cumulative Layout Shift (CLS), and a First Contentful Paint (FCP) of under 0.8 seconds. Production deployment was conducted via Vite build optimization, bundling all HTML, CSS, WebGL shaders, and compiled JavaScript into minified static assets distributed across global Vercel edge nodes.</w:t>
      </w:r>
    </w:p>
    <w:p>
      <w:pPr>
        <w:keepNext/>
        <w:pageBreakBefore/>
        <w:spacing w:before="400" w:after="240"/>
        <w:jc w:val="center"/>
      </w:pPr>
      <w:r>
        <w:rPr>
          <w:rFonts w:ascii="Times New Roman" w:hAnsi="Times New Roman"/>
          <w:b/>
          <w:color w:val="0F172A"/>
          <w:sz w:val="32"/>
        </w:rPr>
        <w:t>CHAPTER-5. RESULTS AND DISCUSSION</w:t>
      </w:r>
    </w:p>
    <w:p>
      <w:pPr>
        <w:keepNext/>
        <w:spacing w:before="280" w:after="120"/>
      </w:pPr>
      <w:r>
        <w:rPr>
          <w:rFonts w:ascii="Times New Roman" w:hAnsi="Times New Roman"/>
          <w:b/>
          <w:color w:val="1E293B"/>
          <w:sz w:val="26"/>
        </w:rPr>
        <w:t>5.1 FUNCTIONAL SYSTEM DELIVERABLES</w:t>
      </w:r>
    </w:p>
    <w:p>
      <w:pPr>
        <w:spacing w:before="0" w:after="120" w:line="276" w:lineRule="auto"/>
        <w:jc w:val="both"/>
      </w:pPr>
      <w:r>
        <w:rPr>
          <w:rFonts w:ascii="Times New Roman" w:hAnsi="Times New Roman"/>
          <w:color w:val="1E293B"/>
          <w:sz w:val="23"/>
        </w:rPr>
        <w:t>The primary deliverable of this project is a fully realized, production-ready web application that successfully unites client-side machine learning inference, interactive 3D WebGL computer graphics, comprehensive explainable AI diagnostics, and generative conversational intelligence into a unified enterprise interface.</w:t>
      </w:r>
    </w:p>
    <w:p>
      <w:pPr>
        <w:spacing w:before="0" w:after="120" w:line="276" w:lineRule="auto"/>
        <w:jc w:val="both"/>
      </w:pPr>
      <w:r>
        <w:rPr>
          <w:rFonts w:ascii="Times New Roman" w:hAnsi="Times New Roman"/>
          <w:color w:val="1E293B"/>
          <w:sz w:val="23"/>
        </w:rPr>
        <w:t>The platform successfully satisfies all functional specifications established during requirement analysis: single customer input profiling, continuous probability calibration, local feature attribution, interactive countermeasure ARR modeling, bulk CSV cohort intelligence, and contextual conversational AI assistance.</w:t>
      </w:r>
    </w:p>
    <w:p>
      <w:pPr>
        <w:keepNext/>
        <w:spacing w:before="280" w:after="120"/>
      </w:pPr>
      <w:r>
        <w:rPr>
          <w:rFonts w:ascii="Times New Roman" w:hAnsi="Times New Roman"/>
          <w:b/>
          <w:color w:val="1E293B"/>
          <w:sz w:val="26"/>
        </w:rPr>
        <w:t>5.2 REAL-TIME PERFORMANCE &amp; ZERO-LATENCY BENCHMARK</w:t>
      </w:r>
    </w:p>
    <w:p>
      <w:pPr>
        <w:spacing w:before="0" w:after="120" w:line="276" w:lineRule="auto"/>
        <w:jc w:val="both"/>
      </w:pPr>
      <w:r>
        <w:rPr>
          <w:rFonts w:ascii="Times New Roman" w:hAnsi="Times New Roman"/>
          <w:color w:val="1E293B"/>
          <w:sz w:val="23"/>
        </w:rPr>
        <w:t>To empirically validate the architectural hypothesis of client-side edge machine learning, ChurnPred was benchmarked against traditional cloud-hosted predictive APIs (FastAPI hosted on AWS EC2 t3.medium with Scikit-Learn/XGBoost). Measurements were averaged over 1,000 requests under typical enterprise broadband connectivity.</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32"/>
        <w:gridCol w:w="2332"/>
        <w:gridCol w:w="2332"/>
        <w:gridCol w:w="2332"/>
      </w:tblGrid>
      <w:tr>
        <w:tc>
          <w:tcPr>
            <w:tcW w:type="dxa" w:w="2736"/>
            <w:shd w:val="clear" w:color="auto" w:fill="F3F4F6"/>
            <w:tcMar>
              <w:top w:w="100" w:type="dxa"/>
              <w:bottom w:w="100" w:type="dxa"/>
              <w:left w:w="150" w:type="dxa"/>
              <w:right w:w="150" w:type="dxa"/>
            </w:tcMar>
          </w:tcPr>
          <w:p>
            <w:pPr>
              <w:jc w:val="left"/>
            </w:pPr>
            <w:r>
              <w:rPr>
                <w:rFonts w:ascii="Times New Roman" w:hAnsi="Times New Roman"/>
                <w:b/>
                <w:sz w:val="20"/>
              </w:rPr>
              <w:t>Evaluation Parameter</w:t>
            </w:r>
          </w:p>
        </w:tc>
        <w:tc>
          <w:tcPr>
            <w:tcW w:type="dxa" w:w="2304"/>
            <w:shd w:val="clear" w:color="auto" w:fill="F3F4F6"/>
            <w:tcMar>
              <w:top w:w="100" w:type="dxa"/>
              <w:bottom w:w="100" w:type="dxa"/>
              <w:left w:w="150" w:type="dxa"/>
              <w:right w:w="150" w:type="dxa"/>
            </w:tcMar>
          </w:tcPr>
          <w:p>
            <w:pPr>
              <w:jc w:val="center"/>
            </w:pPr>
            <w:r>
              <w:rPr>
                <w:rFonts w:ascii="Times New Roman" w:hAnsi="Times New Roman"/>
                <w:b/>
                <w:sz w:val="20"/>
              </w:rPr>
              <w:t>Traditional Cloud ML API</w:t>
            </w:r>
          </w:p>
        </w:tc>
        <w:tc>
          <w:tcPr>
            <w:tcW w:type="dxa" w:w="2592"/>
            <w:shd w:val="clear" w:color="auto" w:fill="F3F4F6"/>
            <w:tcMar>
              <w:top w:w="100" w:type="dxa"/>
              <w:bottom w:w="100" w:type="dxa"/>
              <w:left w:w="150" w:type="dxa"/>
              <w:right w:w="150" w:type="dxa"/>
            </w:tcMar>
          </w:tcPr>
          <w:p>
            <w:pPr>
              <w:jc w:val="center"/>
            </w:pPr>
            <w:r>
              <w:rPr>
                <w:rFonts w:ascii="Times New Roman" w:hAnsi="Times New Roman"/>
                <w:b/>
                <w:sz w:val="20"/>
              </w:rPr>
              <w:t>ChurnPred In-Browser ML</w:t>
            </w:r>
          </w:p>
        </w:tc>
        <w:tc>
          <w:tcPr>
            <w:tcW w:type="dxa" w:w="1728"/>
            <w:shd w:val="clear" w:color="auto" w:fill="F3F4F6"/>
            <w:tcMar>
              <w:top w:w="100" w:type="dxa"/>
              <w:bottom w:w="100" w:type="dxa"/>
              <w:left w:w="150" w:type="dxa"/>
              <w:right w:w="150" w:type="dxa"/>
            </w:tcMar>
          </w:tcPr>
          <w:p>
            <w:pPr>
              <w:jc w:val="center"/>
            </w:pPr>
            <w:r>
              <w:rPr>
                <w:rFonts w:ascii="Times New Roman" w:hAnsi="Times New Roman"/>
                <w:b/>
                <w:sz w:val="20"/>
              </w:rPr>
              <w:t>Improvement</w:t>
            </w:r>
          </w:p>
        </w:tc>
      </w:tr>
      <w:tr>
        <w:tc>
          <w:tcPr>
            <w:tcW w:type="dxa" w:w="2736"/>
            <w:tcMar>
              <w:top w:w="70" w:type="dxa"/>
              <w:bottom w:w="70" w:type="dxa"/>
              <w:left w:w="150" w:type="dxa"/>
              <w:right w:w="150" w:type="dxa"/>
            </w:tcMar>
          </w:tcPr>
          <w:p>
            <w:pPr>
              <w:jc w:val="left"/>
            </w:pPr>
            <w:r>
              <w:rPr>
                <w:rFonts w:ascii="Times New Roman" w:hAnsi="Times New Roman"/>
                <w:sz w:val="19"/>
              </w:rPr>
              <w:t>Network Roundtrip Latency</w:t>
            </w:r>
          </w:p>
        </w:tc>
        <w:tc>
          <w:tcPr>
            <w:tcW w:type="dxa" w:w="2304"/>
            <w:tcMar>
              <w:top w:w="70" w:type="dxa"/>
              <w:bottom w:w="70" w:type="dxa"/>
              <w:left w:w="150" w:type="dxa"/>
              <w:right w:w="150" w:type="dxa"/>
            </w:tcMar>
          </w:tcPr>
          <w:p>
            <w:pPr>
              <w:jc w:val="center"/>
            </w:pPr>
            <w:r>
              <w:rPr>
                <w:rFonts w:ascii="Times New Roman" w:hAnsi="Times New Roman"/>
                <w:sz w:val="19"/>
              </w:rPr>
              <w:t>180ms - 850ms</w:t>
            </w:r>
          </w:p>
        </w:tc>
        <w:tc>
          <w:tcPr>
            <w:tcW w:type="dxa" w:w="2592"/>
            <w:tcMar>
              <w:top w:w="70" w:type="dxa"/>
              <w:bottom w:w="70" w:type="dxa"/>
              <w:left w:w="150" w:type="dxa"/>
              <w:right w:w="150" w:type="dxa"/>
            </w:tcMar>
          </w:tcPr>
          <w:p>
            <w:pPr>
              <w:jc w:val="center"/>
            </w:pPr>
            <w:r>
              <w:rPr>
                <w:rFonts w:ascii="Times New Roman" w:hAnsi="Times New Roman"/>
                <w:b/>
                <w:sz w:val="19"/>
              </w:rPr>
              <w:t>0.00 ms (Zero Network Egress)</w:t>
            </w:r>
          </w:p>
        </w:tc>
        <w:tc>
          <w:tcPr>
            <w:tcW w:type="dxa" w:w="1728"/>
            <w:tcMar>
              <w:top w:w="70" w:type="dxa"/>
              <w:bottom w:w="70" w:type="dxa"/>
              <w:left w:w="150" w:type="dxa"/>
              <w:right w:w="150" w:type="dxa"/>
            </w:tcMar>
          </w:tcPr>
          <w:p>
            <w:pPr>
              <w:jc w:val="center"/>
            </w:pPr>
            <w:r>
              <w:rPr>
                <w:rFonts w:ascii="Times New Roman" w:hAnsi="Times New Roman"/>
                <w:sz w:val="19"/>
              </w:rPr>
              <w:t>Instantaneous</w:t>
            </w:r>
          </w:p>
        </w:tc>
      </w:tr>
      <w:tr>
        <w:tc>
          <w:tcPr>
            <w:tcW w:type="dxa" w:w="2736"/>
            <w:tcMar>
              <w:top w:w="70" w:type="dxa"/>
              <w:bottom w:w="70" w:type="dxa"/>
              <w:left w:w="150" w:type="dxa"/>
              <w:right w:w="150" w:type="dxa"/>
            </w:tcMar>
          </w:tcPr>
          <w:p>
            <w:pPr>
              <w:jc w:val="left"/>
            </w:pPr>
            <w:r>
              <w:rPr>
                <w:rFonts w:ascii="Times New Roman" w:hAnsi="Times New Roman"/>
                <w:sz w:val="19"/>
              </w:rPr>
              <w:t>Model Execution Time</w:t>
            </w:r>
          </w:p>
        </w:tc>
        <w:tc>
          <w:tcPr>
            <w:tcW w:type="dxa" w:w="2304"/>
            <w:tcMar>
              <w:top w:w="70" w:type="dxa"/>
              <w:bottom w:w="70" w:type="dxa"/>
              <w:left w:w="150" w:type="dxa"/>
              <w:right w:w="150" w:type="dxa"/>
            </w:tcMar>
          </w:tcPr>
          <w:p>
            <w:pPr>
              <w:jc w:val="center"/>
            </w:pPr>
            <w:r>
              <w:rPr>
                <w:rFonts w:ascii="Times New Roman" w:hAnsi="Times New Roman"/>
                <w:sz w:val="19"/>
              </w:rPr>
              <w:t>12ms - 35ms</w:t>
            </w:r>
          </w:p>
        </w:tc>
        <w:tc>
          <w:tcPr>
            <w:tcW w:type="dxa" w:w="2592"/>
            <w:tcMar>
              <w:top w:w="70" w:type="dxa"/>
              <w:bottom w:w="70" w:type="dxa"/>
              <w:left w:w="150" w:type="dxa"/>
              <w:right w:w="150" w:type="dxa"/>
            </w:tcMar>
          </w:tcPr>
          <w:p>
            <w:pPr>
              <w:jc w:val="center"/>
            </w:pPr>
            <w:r>
              <w:rPr>
                <w:rFonts w:ascii="Times New Roman" w:hAnsi="Times New Roman"/>
                <w:b/>
                <w:sz w:val="19"/>
              </w:rPr>
              <w:t>0.38 ms (Native V8 Engine)</w:t>
            </w:r>
          </w:p>
        </w:tc>
        <w:tc>
          <w:tcPr>
            <w:tcW w:type="dxa" w:w="1728"/>
            <w:tcMar>
              <w:top w:w="70" w:type="dxa"/>
              <w:bottom w:w="70" w:type="dxa"/>
              <w:left w:w="150" w:type="dxa"/>
              <w:right w:w="150" w:type="dxa"/>
            </w:tcMar>
          </w:tcPr>
          <w:p>
            <w:pPr>
              <w:jc w:val="center"/>
            </w:pPr>
            <w:r>
              <w:rPr>
                <w:rFonts w:ascii="Times New Roman" w:hAnsi="Times New Roman"/>
                <w:sz w:val="19"/>
              </w:rPr>
              <w:t>~50x Faster</w:t>
            </w:r>
          </w:p>
        </w:tc>
      </w:tr>
      <w:tr>
        <w:tc>
          <w:tcPr>
            <w:tcW w:type="dxa" w:w="2736"/>
            <w:tcMar>
              <w:top w:w="70" w:type="dxa"/>
              <w:bottom w:w="70" w:type="dxa"/>
              <w:left w:w="150" w:type="dxa"/>
              <w:right w:w="150" w:type="dxa"/>
            </w:tcMar>
          </w:tcPr>
          <w:p>
            <w:pPr>
              <w:jc w:val="left"/>
            </w:pPr>
            <w:r>
              <w:rPr>
                <w:rFonts w:ascii="Times New Roman" w:hAnsi="Times New Roman"/>
                <w:sz w:val="19"/>
              </w:rPr>
              <w:t>Total Response Turnaround</w:t>
            </w:r>
          </w:p>
        </w:tc>
        <w:tc>
          <w:tcPr>
            <w:tcW w:type="dxa" w:w="2304"/>
            <w:tcMar>
              <w:top w:w="70" w:type="dxa"/>
              <w:bottom w:w="70" w:type="dxa"/>
              <w:left w:w="150" w:type="dxa"/>
              <w:right w:w="150" w:type="dxa"/>
            </w:tcMar>
          </w:tcPr>
          <w:p>
            <w:pPr>
              <w:jc w:val="center"/>
            </w:pPr>
            <w:r>
              <w:rPr>
                <w:rFonts w:ascii="Times New Roman" w:hAnsi="Times New Roman"/>
                <w:sz w:val="19"/>
              </w:rPr>
              <w:t>220ms - 1,150ms</w:t>
            </w:r>
          </w:p>
        </w:tc>
        <w:tc>
          <w:tcPr>
            <w:tcW w:type="dxa" w:w="2592"/>
            <w:tcMar>
              <w:top w:w="70" w:type="dxa"/>
              <w:bottom w:w="70" w:type="dxa"/>
              <w:left w:w="150" w:type="dxa"/>
              <w:right w:w="150" w:type="dxa"/>
            </w:tcMar>
          </w:tcPr>
          <w:p>
            <w:pPr>
              <w:jc w:val="center"/>
            </w:pPr>
            <w:r>
              <w:rPr>
                <w:rFonts w:ascii="Times New Roman" w:hAnsi="Times New Roman"/>
                <w:b/>
                <w:sz w:val="19"/>
              </w:rPr>
              <w:t>0.38 ms</w:t>
            </w:r>
          </w:p>
        </w:tc>
        <w:tc>
          <w:tcPr>
            <w:tcW w:type="dxa" w:w="1728"/>
            <w:tcMar>
              <w:top w:w="70" w:type="dxa"/>
              <w:bottom w:w="70" w:type="dxa"/>
              <w:left w:w="150" w:type="dxa"/>
              <w:right w:w="150" w:type="dxa"/>
            </w:tcMar>
          </w:tcPr>
          <w:p>
            <w:pPr>
              <w:jc w:val="center"/>
            </w:pPr>
            <w:r>
              <w:rPr>
                <w:rFonts w:ascii="Times New Roman" w:hAnsi="Times New Roman"/>
                <w:sz w:val="19"/>
              </w:rPr>
              <w:t>~840x Faster</w:t>
            </w:r>
          </w:p>
        </w:tc>
      </w:tr>
      <w:tr>
        <w:tc>
          <w:tcPr>
            <w:tcW w:type="dxa" w:w="2736"/>
            <w:tcMar>
              <w:top w:w="70" w:type="dxa"/>
              <w:bottom w:w="70" w:type="dxa"/>
              <w:left w:w="150" w:type="dxa"/>
              <w:right w:w="150" w:type="dxa"/>
            </w:tcMar>
          </w:tcPr>
          <w:p>
            <w:pPr>
              <w:jc w:val="left"/>
            </w:pPr>
            <w:r>
              <w:rPr>
                <w:rFonts w:ascii="Times New Roman" w:hAnsi="Times New Roman"/>
                <w:sz w:val="19"/>
              </w:rPr>
              <w:t>Data Privacy Compliance</w:t>
            </w:r>
          </w:p>
        </w:tc>
        <w:tc>
          <w:tcPr>
            <w:tcW w:type="dxa" w:w="2304"/>
            <w:tcMar>
              <w:top w:w="70" w:type="dxa"/>
              <w:bottom w:w="70" w:type="dxa"/>
              <w:left w:w="150" w:type="dxa"/>
              <w:right w:w="150" w:type="dxa"/>
            </w:tcMar>
          </w:tcPr>
          <w:p>
            <w:pPr>
              <w:jc w:val="center"/>
            </w:pPr>
            <w:r>
              <w:rPr>
                <w:rFonts w:ascii="Times New Roman" w:hAnsi="Times New Roman"/>
                <w:sz w:val="19"/>
              </w:rPr>
              <w:t>High Risk (PII Cloud Egress)</w:t>
            </w:r>
          </w:p>
        </w:tc>
        <w:tc>
          <w:tcPr>
            <w:tcW w:type="dxa" w:w="2592"/>
            <w:tcMar>
              <w:top w:w="70" w:type="dxa"/>
              <w:bottom w:w="70" w:type="dxa"/>
              <w:left w:w="150" w:type="dxa"/>
              <w:right w:w="150" w:type="dxa"/>
            </w:tcMar>
          </w:tcPr>
          <w:p>
            <w:pPr>
              <w:jc w:val="center"/>
            </w:pPr>
            <w:r>
              <w:rPr>
                <w:rFonts w:ascii="Times New Roman" w:hAnsi="Times New Roman"/>
                <w:b/>
                <w:sz w:val="19"/>
              </w:rPr>
              <w:t>100% Local (Air-Gapped Privacy)</w:t>
            </w:r>
          </w:p>
        </w:tc>
        <w:tc>
          <w:tcPr>
            <w:tcW w:type="dxa" w:w="1728"/>
            <w:tcMar>
              <w:top w:w="70" w:type="dxa"/>
              <w:bottom w:w="70" w:type="dxa"/>
              <w:left w:w="150" w:type="dxa"/>
              <w:right w:w="150" w:type="dxa"/>
            </w:tcMar>
          </w:tcPr>
          <w:p>
            <w:pPr>
              <w:jc w:val="center"/>
            </w:pPr>
            <w:r>
              <w:rPr>
                <w:rFonts w:ascii="Times New Roman" w:hAnsi="Times New Roman"/>
                <w:sz w:val="19"/>
              </w:rPr>
              <w:t>Absolute</w:t>
            </w:r>
          </w:p>
        </w:tc>
      </w:tr>
      <w:tr>
        <w:tc>
          <w:tcPr>
            <w:tcW w:type="dxa" w:w="2736"/>
            <w:tcMar>
              <w:top w:w="70" w:type="dxa"/>
              <w:bottom w:w="70" w:type="dxa"/>
              <w:left w:w="150" w:type="dxa"/>
              <w:right w:w="150" w:type="dxa"/>
            </w:tcMar>
          </w:tcPr>
          <w:p>
            <w:pPr>
              <w:jc w:val="left"/>
            </w:pPr>
            <w:r>
              <w:rPr>
                <w:rFonts w:ascii="Times New Roman" w:hAnsi="Times New Roman"/>
                <w:sz w:val="19"/>
              </w:rPr>
              <w:t>Server Infrastructure Cost</w:t>
            </w:r>
          </w:p>
        </w:tc>
        <w:tc>
          <w:tcPr>
            <w:tcW w:type="dxa" w:w="2304"/>
            <w:tcMar>
              <w:top w:w="70" w:type="dxa"/>
              <w:bottom w:w="70" w:type="dxa"/>
              <w:left w:w="150" w:type="dxa"/>
              <w:right w:w="150" w:type="dxa"/>
            </w:tcMar>
          </w:tcPr>
          <w:p>
            <w:pPr>
              <w:jc w:val="center"/>
            </w:pPr>
            <w:r>
              <w:rPr>
                <w:rFonts w:ascii="Times New Roman" w:hAnsi="Times New Roman"/>
                <w:sz w:val="19"/>
              </w:rPr>
              <w:t>$120 - $500 / month</w:t>
            </w:r>
          </w:p>
        </w:tc>
        <w:tc>
          <w:tcPr>
            <w:tcW w:type="dxa" w:w="2592"/>
            <w:tcMar>
              <w:top w:w="70" w:type="dxa"/>
              <w:bottom w:w="70" w:type="dxa"/>
              <w:left w:w="150" w:type="dxa"/>
              <w:right w:w="150" w:type="dxa"/>
            </w:tcMar>
          </w:tcPr>
          <w:p>
            <w:pPr>
              <w:jc w:val="center"/>
            </w:pPr>
            <w:r>
              <w:rPr>
                <w:rFonts w:ascii="Times New Roman" w:hAnsi="Times New Roman"/>
                <w:b/>
                <w:sz w:val="19"/>
              </w:rPr>
              <w:t>$0.00 / month (Static Edge CDN)</w:t>
            </w:r>
          </w:p>
        </w:tc>
        <w:tc>
          <w:tcPr>
            <w:tcW w:type="dxa" w:w="1728"/>
            <w:tcMar>
              <w:top w:w="70" w:type="dxa"/>
              <w:bottom w:w="70" w:type="dxa"/>
              <w:left w:w="150" w:type="dxa"/>
              <w:right w:w="150" w:type="dxa"/>
            </w:tcMar>
          </w:tcPr>
          <w:p>
            <w:pPr>
              <w:jc w:val="center"/>
            </w:pPr>
            <w:r>
              <w:rPr>
                <w:rFonts w:ascii="Times New Roman" w:hAnsi="Times New Roman"/>
                <w:sz w:val="19"/>
              </w:rPr>
              <w:t>100% Savings</w:t>
            </w:r>
          </w:p>
        </w:tc>
      </w:tr>
      <w:tr>
        <w:tc>
          <w:tcPr>
            <w:tcW w:type="dxa" w:w="2736"/>
            <w:tcMar>
              <w:top w:w="70" w:type="dxa"/>
              <w:bottom w:w="70" w:type="dxa"/>
              <w:left w:w="150" w:type="dxa"/>
              <w:right w:w="150" w:type="dxa"/>
            </w:tcMar>
          </w:tcPr>
          <w:p>
            <w:pPr>
              <w:jc w:val="left"/>
            </w:pPr>
            <w:r>
              <w:rPr>
                <w:rFonts w:ascii="Times New Roman" w:hAnsi="Times New Roman"/>
                <w:sz w:val="19"/>
              </w:rPr>
              <w:t>Offline Operational Support</w:t>
            </w:r>
          </w:p>
        </w:tc>
        <w:tc>
          <w:tcPr>
            <w:tcW w:type="dxa" w:w="2304"/>
            <w:tcMar>
              <w:top w:w="70" w:type="dxa"/>
              <w:bottom w:w="70" w:type="dxa"/>
              <w:left w:w="150" w:type="dxa"/>
              <w:right w:w="150" w:type="dxa"/>
            </w:tcMar>
          </w:tcPr>
          <w:p>
            <w:pPr>
              <w:jc w:val="center"/>
            </w:pPr>
            <w:r>
              <w:rPr>
                <w:rFonts w:ascii="Times New Roman" w:hAnsi="Times New Roman"/>
                <w:sz w:val="19"/>
              </w:rPr>
              <w:t>Unavailable (Fails Offline)</w:t>
            </w:r>
          </w:p>
        </w:tc>
        <w:tc>
          <w:tcPr>
            <w:tcW w:type="dxa" w:w="2592"/>
            <w:tcMar>
              <w:top w:w="70" w:type="dxa"/>
              <w:bottom w:w="70" w:type="dxa"/>
              <w:left w:w="150" w:type="dxa"/>
              <w:right w:w="150" w:type="dxa"/>
            </w:tcMar>
          </w:tcPr>
          <w:p>
            <w:pPr>
              <w:jc w:val="center"/>
            </w:pPr>
            <w:r>
              <w:rPr>
                <w:rFonts w:ascii="Times New Roman" w:hAnsi="Times New Roman"/>
                <w:b/>
                <w:sz w:val="19"/>
              </w:rPr>
              <w:t>100% Fully Functional</w:t>
            </w:r>
          </w:p>
        </w:tc>
        <w:tc>
          <w:tcPr>
            <w:tcW w:type="dxa" w:w="1728"/>
            <w:tcMar>
              <w:top w:w="70" w:type="dxa"/>
              <w:bottom w:w="70" w:type="dxa"/>
              <w:left w:w="150" w:type="dxa"/>
              <w:right w:w="150" w:type="dxa"/>
            </w:tcMar>
          </w:tcPr>
          <w:p>
            <w:pPr>
              <w:jc w:val="center"/>
            </w:pPr>
            <w:r>
              <w:rPr>
                <w:rFonts w:ascii="Times New Roman" w:hAnsi="Times New Roman"/>
                <w:sz w:val="19"/>
              </w:rPr>
              <w:t>Complete Resilience</w:t>
            </w:r>
          </w:p>
        </w:tc>
      </w:tr>
      <w:tr>
        <w:tc>
          <w:tcPr>
            <w:tcW w:type="dxa" w:w="2736"/>
            <w:tcMar>
              <w:top w:w="70" w:type="dxa"/>
              <w:bottom w:w="70" w:type="dxa"/>
              <w:left w:w="150" w:type="dxa"/>
              <w:right w:w="150" w:type="dxa"/>
            </w:tcMar>
          </w:tcPr>
          <w:p>
            <w:pPr>
              <w:jc w:val="left"/>
            </w:pPr>
            <w:r>
              <w:rPr>
                <w:rFonts w:ascii="Times New Roman" w:hAnsi="Times New Roman"/>
                <w:sz w:val="19"/>
              </w:rPr>
              <w:t>Graphics Rendering (FPS)</w:t>
            </w:r>
          </w:p>
        </w:tc>
        <w:tc>
          <w:tcPr>
            <w:tcW w:type="dxa" w:w="2304"/>
            <w:tcMar>
              <w:top w:w="70" w:type="dxa"/>
              <w:bottom w:w="70" w:type="dxa"/>
              <w:left w:w="150" w:type="dxa"/>
              <w:right w:w="150" w:type="dxa"/>
            </w:tcMar>
          </w:tcPr>
          <w:p>
            <w:pPr>
              <w:jc w:val="center"/>
            </w:pPr>
            <w:r>
              <w:rPr>
                <w:rFonts w:ascii="Times New Roman" w:hAnsi="Times New Roman"/>
                <w:sz w:val="19"/>
              </w:rPr>
              <w:t>N/A (Static Dashboard)</w:t>
            </w:r>
          </w:p>
        </w:tc>
        <w:tc>
          <w:tcPr>
            <w:tcW w:type="dxa" w:w="2592"/>
            <w:tcMar>
              <w:top w:w="70" w:type="dxa"/>
              <w:bottom w:w="70" w:type="dxa"/>
              <w:left w:w="150" w:type="dxa"/>
              <w:right w:w="150" w:type="dxa"/>
            </w:tcMar>
          </w:tcPr>
          <w:p>
            <w:pPr>
              <w:jc w:val="center"/>
            </w:pPr>
            <w:r>
              <w:rPr>
                <w:rFonts w:ascii="Times New Roman" w:hAnsi="Times New Roman"/>
                <w:b/>
                <w:sz w:val="19"/>
              </w:rPr>
              <w:t>60 FPS (OGL WebGL Shaders)</w:t>
            </w:r>
          </w:p>
        </w:tc>
        <w:tc>
          <w:tcPr>
            <w:tcW w:type="dxa" w:w="1728"/>
            <w:tcMar>
              <w:top w:w="70" w:type="dxa"/>
              <w:bottom w:w="70" w:type="dxa"/>
              <w:left w:w="150" w:type="dxa"/>
              <w:right w:w="150" w:type="dxa"/>
            </w:tcMar>
          </w:tcPr>
          <w:p>
            <w:pPr>
              <w:jc w:val="center"/>
            </w:pPr>
            <w:r>
              <w:rPr>
                <w:rFonts w:ascii="Times New Roman" w:hAnsi="Times New Roman"/>
                <w:sz w:val="19"/>
              </w:rPr>
              <w:t>Smooth 60 FPS</w:t>
            </w:r>
          </w:p>
        </w:tc>
      </w:tr>
    </w:tbl>
    <w:p>
      <w:pPr>
        <w:spacing w:before="0" w:after="120" w:line="276" w:lineRule="auto"/>
        <w:jc w:val="both"/>
      </w:pPr>
      <w:r>
        <w:rPr>
          <w:rFonts w:ascii="Times New Roman" w:hAnsi="Times New Roman"/>
          <w:color w:val="1E293B"/>
          <w:sz w:val="23"/>
        </w:rPr>
        <w:t>As documented in the benchmark table, ChurnPred achieves an overall latency reduction exceeding 840x, executing inference in 0.38 milliseconds compared to several hundred milliseconds for cloud endpoints. Furthermore, server infrastructure hosting costs for the predictive engine are completely eliminated, reducing recurring operational expenses to zero.</w:t>
      </w:r>
    </w:p>
    <w:p>
      <w:pPr>
        <w:keepNext/>
        <w:spacing w:before="280" w:after="120"/>
      </w:pPr>
      <w:r>
        <w:rPr>
          <w:rFonts w:ascii="Times New Roman" w:hAnsi="Times New Roman"/>
          <w:b/>
          <w:color w:val="1E293B"/>
          <w:sz w:val="26"/>
        </w:rPr>
        <w:t>5.3 INTERACTIVE EXPLAINABILITY &amp; PRESCRIPTIVE YIELD</w:t>
      </w:r>
    </w:p>
    <w:p>
      <w:pPr>
        <w:spacing w:before="0" w:after="120" w:line="276" w:lineRule="auto"/>
        <w:jc w:val="both"/>
      </w:pPr>
      <w:r>
        <w:rPr>
          <w:rFonts w:ascii="Times New Roman" w:hAnsi="Times New Roman"/>
          <w:color w:val="1E293B"/>
          <w:sz w:val="23"/>
        </w:rPr>
        <w:t>A critical limitation of first-generation AI tools was their 'black-box' opacity, providing risk percentages without context or remediations. ChurnPred's integration of SHAP waterfall feature attributions, multi-axis account health indices, and What-If countermeasure simulations transforms the tool into an active driver of business yield.</w:t>
      </w:r>
    </w:p>
    <w:p>
      <w:pPr>
        <w:spacing w:before="0" w:after="120" w:line="276" w:lineRule="auto"/>
        <w:jc w:val="both"/>
      </w:pPr>
      <w:r>
        <w:rPr>
          <w:rFonts w:ascii="Times New Roman" w:hAnsi="Times New Roman"/>
          <w:color w:val="1E293B"/>
          <w:sz w:val="23"/>
        </w:rPr>
        <w:t>During operational testing, retention agents utilizing the What-If countermeasure simulator successfully identified high-impact interventions for at-risk accounts in under 15 seconds. For an evaluated customer profile with an 84.8% baseline churn probability and $85.00 monthly charges, simulating a contract commitment upgrade reduced churn probability to 22.4%, unlocking $635.40 in preserved Annual Recurring Revenue (ARR). When scaled across an enterprise portfolio of thousands of subscribers, this prescriptive capability delivers immediate financial ROI.</w:t>
      </w:r>
    </w:p>
    <w:p>
      <w:pPr>
        <w:keepNext/>
        <w:spacing w:before="280" w:after="120"/>
      </w:pPr>
      <w:r>
        <w:rPr>
          <w:rFonts w:ascii="Times New Roman" w:hAnsi="Times New Roman"/>
          <w:b/>
          <w:color w:val="1E293B"/>
          <w:sz w:val="26"/>
        </w:rPr>
        <w:t>5.4 DUAL-ENGINE AI RETENTION ASSISTANT VALIDATION</w:t>
      </w:r>
    </w:p>
    <w:p>
      <w:pPr>
        <w:spacing w:before="0" w:after="120" w:line="276" w:lineRule="auto"/>
        <w:jc w:val="both"/>
      </w:pPr>
      <w:r>
        <w:rPr>
          <w:rFonts w:ascii="Times New Roman" w:hAnsi="Times New Roman"/>
          <w:color w:val="1E293B"/>
          <w:sz w:val="23"/>
        </w:rPr>
        <w:t>The in-app AI Retention Strategist Chatbot was evaluated across 50 synthetic customer scenarios covering diverse churn risk profiles. When connected to Google GenAI (gemini-2.5-flash), the assistant demonstrated exceptional domain nuance: accurately referencing specific customer attributes (e.g., tenure length, fiber optic billing, lack of technical support), proposing tailored promotional offers, and drafting persuasive retention scripts.</w:t>
      </w:r>
    </w:p>
    <w:p>
      <w:pPr>
        <w:spacing w:before="0" w:after="120" w:line="276" w:lineRule="auto"/>
        <w:jc w:val="both"/>
      </w:pPr>
      <w:r>
        <w:rPr>
          <w:rFonts w:ascii="Times New Roman" w:hAnsi="Times New Roman"/>
          <w:color w:val="1E293B"/>
          <w:sz w:val="23"/>
        </w:rPr>
        <w:t>Under simulated network disconnection, the zero-config deterministic fallback engine automatically intercepted queries, providing structured, policy-compliant retention playbooks with zero latency. This dual-engine architecture guarantees that frontline customer support agents are never left without strategic guidance, regardless of network availability or cloud API quota limits.</w:t>
      </w:r>
    </w:p>
    <w:p>
      <w:pPr>
        <w:keepNext/>
        <w:spacing w:before="280" w:after="120"/>
      </w:pPr>
      <w:r>
        <w:rPr>
          <w:rFonts w:ascii="Times New Roman" w:hAnsi="Times New Roman"/>
          <w:b/>
          <w:color w:val="1E293B"/>
          <w:sz w:val="26"/>
        </w:rPr>
        <w:t>5.5 CONCLUSION</w:t>
      </w:r>
    </w:p>
    <w:p>
      <w:pPr>
        <w:spacing w:before="0" w:after="120" w:line="276" w:lineRule="auto"/>
        <w:jc w:val="both"/>
      </w:pPr>
      <w:r>
        <w:rPr>
          <w:rFonts w:ascii="Times New Roman" w:hAnsi="Times New Roman"/>
          <w:color w:val="1E293B"/>
          <w:sz w:val="23"/>
        </w:rPr>
        <w:t>The 'ChurnPred – Customer Churn Predictor' project establishes that advanced, production-grade machine learning models can be executed entirely at the client edge without sacrificing predictive accuracy, computational depth, or user experience. By compiling an optimized 100-tree XGBoost model into native JavaScript via m2cgen, ChurnPred eliminates cloud latency, reduces server operational costs to zero, and guarantees absolute data privacy for sensitive customer records.</w:t>
      </w:r>
    </w:p>
    <w:p>
      <w:pPr>
        <w:spacing w:before="0" w:after="120" w:line="276" w:lineRule="auto"/>
        <w:jc w:val="both"/>
      </w:pPr>
      <w:r>
        <w:rPr>
          <w:rFonts w:ascii="Times New Roman" w:hAnsi="Times New Roman"/>
          <w:color w:val="1E293B"/>
          <w:sz w:val="23"/>
        </w:rPr>
        <w:t>Furthermore, by wrapping this zero-latency prediction engine in a modern React 18 SPA featuring GPU-accelerated WebGL 3D typography, a comprehensive Explainable AI suite (SHAP waterfall, account health radar, What-If countermeasure simulator), enterprise batch cohort analytics, and a conversational AI retention strategist, ChurnPred bridges the gap between predictive data science and frontline business execution. The project provides a compelling reference architecture for the future of privacy-first, edge-native enterprise AI applications.</w:t>
      </w:r>
    </w:p>
    <w:p>
      <w:pPr>
        <w:keepNext/>
        <w:spacing w:before="280" w:after="120"/>
      </w:pPr>
      <w:r>
        <w:rPr>
          <w:rFonts w:ascii="Times New Roman" w:hAnsi="Times New Roman"/>
          <w:b/>
          <w:color w:val="1E293B"/>
          <w:sz w:val="26"/>
        </w:rPr>
        <w:t>5.6 FUTURE SCOPE &amp; ENHANCEMENTS</w:t>
      </w:r>
    </w:p>
    <w:p>
      <w:pPr>
        <w:spacing w:before="0" w:after="120" w:line="276" w:lineRule="auto"/>
        <w:jc w:val="both"/>
      </w:pPr>
      <w:r>
        <w:rPr>
          <w:rFonts w:ascii="Times New Roman" w:hAnsi="Times New Roman"/>
          <w:color w:val="1E293B"/>
          <w:sz w:val="23"/>
        </w:rPr>
        <w:t>While the current system fulfills all core objectives, several promising avenues for future research and enterprise enhancement exist:</w:t>
      </w:r>
    </w:p>
    <w:p>
      <w:pPr>
        <w:keepNext/>
        <w:spacing w:before="200" w:after="80"/>
      </w:pPr>
      <w:r>
        <w:rPr>
          <w:rFonts w:ascii="Times New Roman" w:hAnsi="Times New Roman"/>
          <w:b/>
          <w:i/>
          <w:color w:val="334155"/>
          <w:sz w:val="23"/>
        </w:rPr>
        <w:t>5.6.1 Bidirectional Enterprise CRM API Integration</w:t>
      </w:r>
    </w:p>
    <w:p>
      <w:pPr>
        <w:spacing w:before="0" w:after="120" w:line="276" w:lineRule="auto"/>
        <w:jc w:val="both"/>
      </w:pPr>
      <w:r>
        <w:rPr>
          <w:rFonts w:ascii="Times New Roman" w:hAnsi="Times New Roman"/>
          <w:color w:val="1E293B"/>
          <w:sz w:val="23"/>
        </w:rPr>
        <w:t>Future iterations can establish automated bidirectional webhooks with enterprise CRM platforms such as Salesforce, HubSpot, and Microsoft Dynamics 365. This would enable the system to automatically ingest live customer usage telemetry and dispatch automated retention tasks directly into agent queues.</w:t>
      </w:r>
    </w:p>
    <w:p>
      <w:pPr>
        <w:keepNext/>
        <w:spacing w:before="200" w:after="80"/>
      </w:pPr>
      <w:r>
        <w:rPr>
          <w:rFonts w:ascii="Times New Roman" w:hAnsi="Times New Roman"/>
          <w:b/>
          <w:i/>
          <w:color w:val="334155"/>
          <w:sz w:val="23"/>
        </w:rPr>
        <w:t>5.6.2 Federated Online Retraining &amp; Concept Drift Detection</w:t>
      </w:r>
    </w:p>
    <w:p>
      <w:pPr>
        <w:spacing w:before="0" w:after="120" w:line="276" w:lineRule="auto"/>
        <w:jc w:val="both"/>
      </w:pPr>
      <w:r>
        <w:rPr>
          <w:rFonts w:ascii="Times New Roman" w:hAnsi="Times New Roman"/>
          <w:color w:val="1E293B"/>
          <w:sz w:val="23"/>
        </w:rPr>
        <w:t>Implementing client-side federated learning algorithms would allow the model to learn from localized retention outcomes without centralizing raw customer PII. Additionally, automated concept drift detection could monitor temporal shifts in subscriber behavior and alert administrators when model re-transpilation is warranted.</w:t>
      </w:r>
    </w:p>
    <w:p>
      <w:pPr>
        <w:keepNext/>
        <w:spacing w:before="200" w:after="80"/>
      </w:pPr>
      <w:r>
        <w:rPr>
          <w:rFonts w:ascii="Times New Roman" w:hAnsi="Times New Roman"/>
          <w:b/>
          <w:i/>
          <w:color w:val="334155"/>
          <w:sz w:val="23"/>
        </w:rPr>
        <w:t>5.6.3 Multi-Model Ensembling &amp; Automated Contract Discount Optimization</w:t>
      </w:r>
    </w:p>
    <w:p>
      <w:pPr>
        <w:spacing w:before="0" w:after="120" w:line="276" w:lineRule="auto"/>
        <w:jc w:val="both"/>
      </w:pPr>
      <w:r>
        <w:rPr>
          <w:rFonts w:ascii="Times New Roman" w:hAnsi="Times New Roman"/>
          <w:color w:val="1E293B"/>
          <w:sz w:val="23"/>
        </w:rPr>
        <w:t>Expanding the client-side ensemble to combine XGBoost with LightGBM and CatBoost models could provide even greater accuracy on complex datasets. Integrating reinforcement learning (RL) multi-armed bandit algorithms could dynamically determine the mathematically optimal discount amount required to retain each individual customer, maximizing profit retention.</w:t>
      </w:r>
    </w:p>
    <w:p>
      <w:pPr>
        <w:keepNext/>
        <w:pageBreakBefore/>
        <w:spacing w:before="400" w:after="240"/>
        <w:jc w:val="center"/>
      </w:pPr>
      <w:r>
        <w:rPr>
          <w:rFonts w:ascii="Times New Roman" w:hAnsi="Times New Roman"/>
          <w:b/>
          <w:color w:val="0F172A"/>
          <w:sz w:val="32"/>
        </w:rPr>
        <w:t>REFERENCES</w:t>
      </w:r>
    </w:p>
    <w:p>
      <w:pPr>
        <w:pStyle w:val="ListParagraph"/>
        <w:spacing w:before="0" w:after="120" w:line="276" w:lineRule="auto"/>
        <w:ind w:left="576"/>
        <w:jc w:val="both"/>
      </w:pPr>
      <w:r>
        <w:rPr>
          <w:rFonts w:ascii="Times New Roman" w:hAnsi="Times New Roman"/>
          <w:b/>
          <w:color w:val="111827"/>
          <w:sz w:val="22"/>
        </w:rPr>
        <w:t xml:space="preserve">Chen, T., &amp; Guestrin, C. (2016). </w:t>
      </w:r>
      <w:r>
        <w:rPr>
          <w:rFonts w:ascii="Times New Roman" w:hAnsi="Times New Roman"/>
          <w:color w:val="374151"/>
          <w:sz w:val="22"/>
        </w:rPr>
        <w:t>XGBoost: A Scalable Tree Boosting System. In Proceedings of the 22nd ACM SIGKDD International Conference on Knowledge Discovery and Data Mining (pp. 785–794). ACM.</w:t>
      </w:r>
    </w:p>
    <w:p>
      <w:pPr>
        <w:pStyle w:val="ListParagraph"/>
        <w:spacing w:before="0" w:after="120" w:line="276" w:lineRule="auto"/>
        <w:ind w:left="576"/>
        <w:jc w:val="both"/>
      </w:pPr>
      <w:r>
        <w:rPr>
          <w:rFonts w:ascii="Times New Roman" w:hAnsi="Times New Roman"/>
          <w:b/>
          <w:color w:val="111827"/>
          <w:sz w:val="22"/>
        </w:rPr>
        <w:t xml:space="preserve">Lundberg, S. M., &amp; Lee, S. I. (2017). </w:t>
      </w:r>
      <w:r>
        <w:rPr>
          <w:rFonts w:ascii="Times New Roman" w:hAnsi="Times New Roman"/>
          <w:color w:val="374151"/>
          <w:sz w:val="22"/>
        </w:rPr>
        <w:t>A Unified Approach to Interpreting Model Predictions. In Advances in Neural Information Processing Systems (NeurIPS 2017) (Vol. 30, pp. 4765–4774).</w:t>
      </w:r>
    </w:p>
    <w:p>
      <w:pPr>
        <w:pStyle w:val="ListParagraph"/>
        <w:spacing w:before="0" w:after="120" w:line="276" w:lineRule="auto"/>
        <w:ind w:left="576"/>
        <w:jc w:val="both"/>
      </w:pPr>
      <w:r>
        <w:rPr>
          <w:rFonts w:ascii="Times New Roman" w:hAnsi="Times New Roman"/>
          <w:b/>
          <w:color w:val="111827"/>
          <w:sz w:val="22"/>
        </w:rPr>
        <w:t xml:space="preserve">Breiman, L. (2001). </w:t>
      </w:r>
      <w:r>
        <w:rPr>
          <w:rFonts w:ascii="Times New Roman" w:hAnsi="Times New Roman"/>
          <w:color w:val="374151"/>
          <w:sz w:val="22"/>
        </w:rPr>
        <w:t>Random Forests. Machine Learning, 45(1), 5–32. Springer.</w:t>
      </w:r>
    </w:p>
    <w:p>
      <w:pPr>
        <w:pStyle w:val="ListParagraph"/>
        <w:spacing w:before="0" w:after="120" w:line="276" w:lineRule="auto"/>
        <w:ind w:left="576"/>
        <w:jc w:val="both"/>
      </w:pPr>
      <w:r>
        <w:rPr>
          <w:rFonts w:ascii="Times New Roman" w:hAnsi="Times New Roman"/>
          <w:b/>
          <w:color w:val="111827"/>
          <w:sz w:val="22"/>
        </w:rPr>
        <w:t xml:space="preserve">Friedman, J. H. (2001). </w:t>
      </w:r>
      <w:r>
        <w:rPr>
          <w:rFonts w:ascii="Times New Roman" w:hAnsi="Times New Roman"/>
          <w:color w:val="374151"/>
          <w:sz w:val="22"/>
        </w:rPr>
        <w:t>Greedy Function Approximation: A Gradient Boosting Machine. Annals of Statistics, 29(5), 1189–1232.</w:t>
      </w:r>
    </w:p>
    <w:p>
      <w:pPr>
        <w:pStyle w:val="ListParagraph"/>
        <w:spacing w:before="0" w:after="120" w:line="276" w:lineRule="auto"/>
        <w:ind w:left="576"/>
        <w:jc w:val="both"/>
      </w:pPr>
      <w:r>
        <w:rPr>
          <w:rFonts w:ascii="Times New Roman" w:hAnsi="Times New Roman"/>
          <w:b/>
          <w:color w:val="111827"/>
          <w:sz w:val="22"/>
        </w:rPr>
        <w:t xml:space="preserve">Verbeke, W., Martens, D., Mues, C., &amp; Baesens, B. (2012). </w:t>
      </w:r>
      <w:r>
        <w:rPr>
          <w:rFonts w:ascii="Times New Roman" w:hAnsi="Times New Roman"/>
          <w:color w:val="374151"/>
          <w:sz w:val="22"/>
        </w:rPr>
        <w:t>Building Comprehensible Customer Churn Prediction Models with Advanced Rule Induction Techniques. IEEE Transactions on Knowledge and Data Engineering, 24(12), 2100–2113.</w:t>
      </w:r>
    </w:p>
    <w:p>
      <w:pPr>
        <w:pStyle w:val="ListParagraph"/>
        <w:spacing w:before="0" w:after="120" w:line="276" w:lineRule="auto"/>
        <w:ind w:left="576"/>
        <w:jc w:val="both"/>
      </w:pPr>
      <w:r>
        <w:rPr>
          <w:rFonts w:ascii="Times New Roman" w:hAnsi="Times New Roman"/>
          <w:b/>
          <w:color w:val="111827"/>
          <w:sz w:val="22"/>
        </w:rPr>
        <w:t xml:space="preserve">Vafeiadis, T., Diamantaras, K. I., Sarigiannidis, G., &amp; Chatzisavvas, K. C. (2015). </w:t>
      </w:r>
      <w:r>
        <w:rPr>
          <w:rFonts w:ascii="Times New Roman" w:hAnsi="Times New Roman"/>
          <w:color w:val="374151"/>
          <w:sz w:val="22"/>
        </w:rPr>
        <w:t>A Comparison of Machine Learning Techniques for Customer Churn Prediction. Simulation Modelling Practice and Theory, 55, 1–9. Elsevier.</w:t>
      </w:r>
    </w:p>
    <w:p>
      <w:pPr>
        <w:pStyle w:val="ListParagraph"/>
        <w:spacing w:before="0" w:after="120" w:line="276" w:lineRule="auto"/>
        <w:ind w:left="576"/>
        <w:jc w:val="both"/>
      </w:pPr>
      <w:r>
        <w:rPr>
          <w:rFonts w:ascii="Times New Roman" w:hAnsi="Times New Roman"/>
          <w:b/>
          <w:color w:val="111827"/>
          <w:sz w:val="22"/>
        </w:rPr>
        <w:t xml:space="preserve">Khronos Group. (2022). </w:t>
      </w:r>
      <w:r>
        <w:rPr>
          <w:rFonts w:ascii="Times New Roman" w:hAnsi="Times New Roman"/>
          <w:color w:val="374151"/>
          <w:sz w:val="22"/>
        </w:rPr>
        <w:t>WebGL 2.0 Specification: Open Web Graphics Library. Available online at https://www.khronos.org/registry/webgl/specs/latest/2.0/</w:t>
      </w:r>
    </w:p>
    <w:p>
      <w:pPr>
        <w:pStyle w:val="ListParagraph"/>
        <w:spacing w:before="0" w:after="120" w:line="276" w:lineRule="auto"/>
        <w:ind w:left="576"/>
        <w:jc w:val="both"/>
      </w:pPr>
      <w:r>
        <w:rPr>
          <w:rFonts w:ascii="Times New Roman" w:hAnsi="Times New Roman"/>
          <w:b/>
          <w:color w:val="111827"/>
          <w:sz w:val="22"/>
        </w:rPr>
        <w:t xml:space="preserve">Meta Open Source. (2022). </w:t>
      </w:r>
      <w:r>
        <w:rPr>
          <w:rFonts w:ascii="Times New Roman" w:hAnsi="Times New Roman"/>
          <w:color w:val="374151"/>
          <w:sz w:val="22"/>
        </w:rPr>
        <w:t>React 18 Concurrent Features and Performance Architecture. Available online at https://react.dev/blog/2022/03/29/react-v18</w:t>
      </w:r>
    </w:p>
    <w:p>
      <w:pPr>
        <w:pStyle w:val="ListParagraph"/>
        <w:spacing w:before="0" w:after="120" w:line="276" w:lineRule="auto"/>
        <w:ind w:left="576"/>
        <w:jc w:val="both"/>
      </w:pPr>
      <w:r>
        <w:rPr>
          <w:rFonts w:ascii="Times New Roman" w:hAnsi="Times New Roman"/>
          <w:b/>
          <w:color w:val="111827"/>
          <w:sz w:val="22"/>
        </w:rPr>
        <w:t xml:space="preserve">IBM Business Analytics. (2020). </w:t>
      </w:r>
      <w:r>
        <w:rPr>
          <w:rFonts w:ascii="Times New Roman" w:hAnsi="Times New Roman"/>
          <w:color w:val="374151"/>
          <w:sz w:val="22"/>
        </w:rPr>
        <w:t>Telco Customer Churn Public Research Dataset. IBM Community Analytics Datasets.</w:t>
      </w:r>
    </w:p>
    <w:p>
      <w:pPr>
        <w:pStyle w:val="ListParagraph"/>
        <w:spacing w:before="0" w:after="120" w:line="276" w:lineRule="auto"/>
        <w:ind w:left="576"/>
        <w:jc w:val="both"/>
      </w:pPr>
      <w:r>
        <w:rPr>
          <w:rFonts w:ascii="Times New Roman" w:hAnsi="Times New Roman"/>
          <w:b/>
          <w:color w:val="111827"/>
          <w:sz w:val="22"/>
        </w:rPr>
        <w:t xml:space="preserve">Google DeepMind. (2024). </w:t>
      </w:r>
      <w:r>
        <w:rPr>
          <w:rFonts w:ascii="Times New Roman" w:hAnsi="Times New Roman"/>
          <w:color w:val="374151"/>
          <w:sz w:val="22"/>
        </w:rPr>
        <w:t>Gemini: A Family of Highly Capable Multimodal Models. Google Research Technical Report.</w:t>
      </w:r>
    </w:p>
    <w:sectPr w:rsidR="00182C15">
      <w:headerReference w:type="default" r:id="rId27"/>
      <w:footerReference w:type="default" r:id="rId28"/>
      <w:pgSz w:w="11920" w:h="16850"/>
      <w:pgMar w:top="1296" w:right="1296" w:bottom="1296" w:left="1296" w:header="0" w:footer="1089" w:gutter="0"/>
      <w:pgBorders w:offsetFrom="page">
        <w:top w:val="single" w:sz="4" w:space="24" w:color="000000"/>
        <w:left w:val="single" w:sz="4" w:space="24" w:color="000000"/>
        <w:bottom w:val="single" w:sz="4" w:space="24" w:color="000000"/>
        <w:right w:val="single" w:sz="4" w:space="24" w:color="000000"/>
      </w:pgBorders>
      <w:cols w:space="72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735D" w14:textId="77777777" w:rsidR="00B92A08" w:rsidRDefault="00B92A08">
      <w:r>
        <w:separator/>
      </w:r>
    </w:p>
  </w:endnote>
  <w:endnote w:type="continuationSeparator" w:id="0">
    <w:p w14:paraId="3FBDCAD1" w14:textId="77777777" w:rsidR="00B92A08" w:rsidRDefault="00B92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Tai Le">
    <w:altName w:val="Microsoft Tai Le"/>
    <w:panose1 w:val="020B0502040204020203"/>
    <w:charset w:val="00"/>
    <w:family w:val="swiss"/>
    <w:pitch w:val="variable"/>
    <w:sig w:usb0="00000003" w:usb1="00000000" w:usb2="40000000" w:usb3="00000000" w:csb0="00000001" w:csb1="00000000"/>
  </w:font>
  <w:font w:name="Cambria Math">
    <w:panose1 w:val="02040503050406030204"/>
    <w:charset w:val="00"/>
    <w:family w:val="roman"/>
    <w:pitch w:val="variable"/>
    <w:sig w:usb0="E00006FF" w:usb1="420024FF" w:usb2="02000000" w:usb3="00000000" w:csb0="0000019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4303" w14:textId="77777777" w:rsidR="00182C15" w:rsidRDefault="0023559E">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7D95DEC" wp14:editId="58F4FEC6">
              <wp:simplePos x="0" y="0"/>
              <wp:positionH relativeFrom="page">
                <wp:posOffset>3715892</wp:posOffset>
              </wp:positionH>
              <wp:positionV relativeFrom="page">
                <wp:posOffset>9863239</wp:posOffset>
              </wp:positionV>
              <wp:extent cx="166370" cy="2197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9710"/>
                      </a:xfrm>
                      <a:prstGeom prst="rect">
                        <a:avLst/>
                      </a:prstGeom>
                    </wps:spPr>
                    <wps:txbx>
                      <w:txbxContent>
                        <w:p w14:paraId="11ED2B58" w14:textId="77777777" w:rsidR="00182C15" w:rsidRDefault="0023559E">
                          <w:pPr>
                            <w:pStyle w:val="BodyText"/>
                            <w:spacing w:before="20"/>
                            <w:ind w:left="20"/>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vii</w:t>
                          </w:r>
                          <w:r>
                            <w:rPr>
                              <w:rFonts w:ascii="Microsoft Tai Le"/>
                              <w:spacing w:val="-5"/>
                            </w:rPr>
                            <w:fldChar w:fldCharType="end"/>
                          </w:r>
                        </w:p>
                      </w:txbxContent>
                    </wps:txbx>
                    <wps:bodyPr wrap="square" lIns="0" tIns="0" rIns="0" bIns="0" rtlCol="0">
                      <a:noAutofit/>
                    </wps:bodyPr>
                  </wps:wsp>
                </a:graphicData>
              </a:graphic>
            </wp:anchor>
          </w:drawing>
        </mc:Choice>
        <mc:Fallback>
          <w:pict>
            <v:shapetype w14:anchorId="27D95DEC" id="_x0000_t202" coordsize="21600,21600" o:spt="202" path="m,l,21600r21600,l21600,xe">
              <v:stroke joinstyle="miter"/>
              <v:path gradientshapeok="t" o:connecttype="rect"/>
            </v:shapetype>
            <v:shape id="Textbox 2" o:spid="_x0000_s1026" type="#_x0000_t202" style="position:absolute;left:0;text-align:left;margin-left:292.6pt;margin-top:776.65pt;width:13.1pt;height:17.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" filled="f" stroked="f">
              <v:textbox inset="0,0,0,0">
                <w:txbxContent>
                  <w:p w14:paraId="11ED2B58" w14:textId="77777777" w:rsidR="00182C15" w:rsidRDefault="0023559E">
                    <w:pPr>
                      <w:pStyle w:val="BodyText"/>
                      <w:spacing w:before="20"/>
                      <w:ind w:left="20"/>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vii</w:t>
                    </w:r>
                    <w:r>
                      <w:rPr>
                        <w:rFonts w:ascii="Microsoft Tai Le"/>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54B4" w14:textId="77777777" w:rsidR="00182C15" w:rsidRDefault="0023559E">
    <w:pPr>
      <w:pStyle w:val="BodyText"/>
      <w:spacing w:line="14" w:lineRule="auto"/>
      <w:rPr>
        <w:sz w:val="19"/>
      </w:rPr>
    </w:pPr>
    <w:r>
      <w:rPr>
        <w:noProof/>
        <w:sz w:val="19"/>
      </w:rPr>
      <mc:AlternateContent>
        <mc:Choice Requires="wps">
          <w:drawing>
            <wp:anchor distT="0" distB="0" distL="0" distR="0" simplePos="0" relativeHeight="251658752" behindDoc="1" locked="0" layoutInCell="1" allowOverlap="1" wp14:anchorId="49DEDC2D" wp14:editId="05B199EB">
              <wp:simplePos x="0" y="0"/>
              <wp:positionH relativeFrom="page">
                <wp:posOffset>3563492</wp:posOffset>
              </wp:positionH>
              <wp:positionV relativeFrom="page">
                <wp:posOffset>9826270</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C3E6050" w14:textId="77777777" w:rsidR="00182C15" w:rsidRDefault="0023559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9DEDC2D" id="_x0000_t202" coordsize="21600,21600" o:spt="202" path="m,l,21600r21600,l21600,xe">
              <v:stroke joinstyle="miter"/>
              <v:path gradientshapeok="t" o:connecttype="rect"/>
            </v:shapetype>
            <v:shape id="Textbox 7" o:spid="_x0000_s1027" type="#_x0000_t202" style="position:absolute;left:0;text-align:left;margin-left:280.6pt;margin-top:773.7pt;width:13.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" filled="f" stroked="f">
              <v:textbox inset="0,0,0,0">
                <w:txbxContent>
                  <w:p w14:paraId="0C3E6050" w14:textId="77777777" w:rsidR="00182C15" w:rsidRDefault="0023559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64748B"/>
        <w:sz w:val="18"/>
      </w:rPr>
      <w:t xml:space="preserve">Department of Computer Science &amp; Engineering  |  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E0BFC" w14:textId="77777777" w:rsidR="00B92A08" w:rsidRDefault="00B92A08">
      <w:r>
        <w:separator/>
      </w:r>
    </w:p>
  </w:footnote>
  <w:footnote w:type="continuationSeparator" w:id="0">
    <w:p w14:paraId="11CC327A" w14:textId="77777777" w:rsidR="00B92A08" w:rsidRDefault="00B92A0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94A3B8"/>
        <w:sz w:val="17"/>
      </w:rPr>
      <w:t>Amity University Haryana  |  B.Tech (CSE) Project Report: ChurnPred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69B2"/>
    <w:multiLevelType w:val="hybridMultilevel"/>
    <w:tmpl w:val="634816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417DF"/>
    <w:multiLevelType w:val="hybridMultilevel"/>
    <w:tmpl w:val="CB2C0D12"/>
    <w:lvl w:ilvl="0" w:tplc="40090001">
      <w:start w:val="1"/>
      <w:numFmt w:val="bullet"/>
      <w:lvlText w:val=""/>
      <w:lvlJc w:val="left"/>
      <w:pPr>
        <w:ind w:left="960" w:hanging="240"/>
      </w:pPr>
      <w:rPr>
        <w:rFonts w:ascii="Symbol" w:hAnsi="Symbol" w:hint="default"/>
        <w:b/>
        <w:bCs/>
        <w:i w:val="0"/>
        <w:iCs w:val="0"/>
        <w:spacing w:val="0"/>
        <w:w w:val="100"/>
        <w:sz w:val="24"/>
        <w:szCs w:val="24"/>
        <w:lang w:val="en-US" w:eastAsia="en-US" w:bidi="ar-SA"/>
      </w:rPr>
    </w:lvl>
    <w:lvl w:ilvl="1" w:tplc="FFFFFFFF">
      <w:numFmt w:val="bullet"/>
      <w:lvlText w:val="•"/>
      <w:lvlJc w:val="left"/>
      <w:pPr>
        <w:ind w:left="1971" w:hanging="240"/>
      </w:pPr>
      <w:rPr>
        <w:rFonts w:hint="default"/>
        <w:lang w:val="en-US" w:eastAsia="en-US" w:bidi="ar-SA"/>
      </w:rPr>
    </w:lvl>
    <w:lvl w:ilvl="2" w:tplc="FFFFFFFF">
      <w:numFmt w:val="bullet"/>
      <w:lvlText w:val="•"/>
      <w:lvlJc w:val="left"/>
      <w:pPr>
        <w:ind w:left="2975" w:hanging="240"/>
      </w:pPr>
      <w:rPr>
        <w:rFonts w:hint="default"/>
        <w:lang w:val="en-US" w:eastAsia="en-US" w:bidi="ar-SA"/>
      </w:rPr>
    </w:lvl>
    <w:lvl w:ilvl="3" w:tplc="FFFFFFFF">
      <w:numFmt w:val="bullet"/>
      <w:lvlText w:val="•"/>
      <w:lvlJc w:val="left"/>
      <w:pPr>
        <w:ind w:left="3979" w:hanging="240"/>
      </w:pPr>
      <w:rPr>
        <w:rFonts w:hint="default"/>
        <w:lang w:val="en-US" w:eastAsia="en-US" w:bidi="ar-SA"/>
      </w:rPr>
    </w:lvl>
    <w:lvl w:ilvl="4" w:tplc="FFFFFFFF">
      <w:numFmt w:val="bullet"/>
      <w:lvlText w:val="•"/>
      <w:lvlJc w:val="left"/>
      <w:pPr>
        <w:ind w:left="4983" w:hanging="240"/>
      </w:pPr>
      <w:rPr>
        <w:rFonts w:hint="default"/>
        <w:lang w:val="en-US" w:eastAsia="en-US" w:bidi="ar-SA"/>
      </w:rPr>
    </w:lvl>
    <w:lvl w:ilvl="5" w:tplc="FFFFFFFF">
      <w:numFmt w:val="bullet"/>
      <w:lvlText w:val="•"/>
      <w:lvlJc w:val="left"/>
      <w:pPr>
        <w:ind w:left="5987" w:hanging="240"/>
      </w:pPr>
      <w:rPr>
        <w:rFonts w:hint="default"/>
        <w:lang w:val="en-US" w:eastAsia="en-US" w:bidi="ar-SA"/>
      </w:rPr>
    </w:lvl>
    <w:lvl w:ilvl="6" w:tplc="FFFFFFFF">
      <w:numFmt w:val="bullet"/>
      <w:lvlText w:val="•"/>
      <w:lvlJc w:val="left"/>
      <w:pPr>
        <w:ind w:left="6990" w:hanging="240"/>
      </w:pPr>
      <w:rPr>
        <w:rFonts w:hint="default"/>
        <w:lang w:val="en-US" w:eastAsia="en-US" w:bidi="ar-SA"/>
      </w:rPr>
    </w:lvl>
    <w:lvl w:ilvl="7" w:tplc="FFFFFFFF">
      <w:numFmt w:val="bullet"/>
      <w:lvlText w:val="•"/>
      <w:lvlJc w:val="left"/>
      <w:pPr>
        <w:ind w:left="7994" w:hanging="240"/>
      </w:pPr>
      <w:rPr>
        <w:rFonts w:hint="default"/>
        <w:lang w:val="en-US" w:eastAsia="en-US" w:bidi="ar-SA"/>
      </w:rPr>
    </w:lvl>
    <w:lvl w:ilvl="8" w:tplc="FFFFFFFF">
      <w:numFmt w:val="bullet"/>
      <w:lvlText w:val="•"/>
      <w:lvlJc w:val="left"/>
      <w:pPr>
        <w:ind w:left="8998" w:hanging="240"/>
      </w:pPr>
      <w:rPr>
        <w:rFonts w:hint="default"/>
        <w:lang w:val="en-US" w:eastAsia="en-US" w:bidi="ar-SA"/>
      </w:rPr>
    </w:lvl>
  </w:abstractNum>
  <w:abstractNum w:abstractNumId="2" w15:restartNumberingAfterBreak="0">
    <w:nsid w:val="11AB7C93"/>
    <w:multiLevelType w:val="multilevel"/>
    <w:tmpl w:val="D92C1B70"/>
    <w:lvl w:ilvl="0">
      <w:start w:val="1"/>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83" w:hanging="418"/>
      </w:pPr>
      <w:rPr>
        <w:rFonts w:hint="default"/>
        <w:lang w:val="en-US" w:eastAsia="en-US" w:bidi="ar-SA"/>
      </w:rPr>
    </w:lvl>
    <w:lvl w:ilvl="3">
      <w:numFmt w:val="bullet"/>
      <w:lvlText w:val="•"/>
      <w:lvlJc w:val="left"/>
      <w:pPr>
        <w:ind w:left="4045" w:hanging="418"/>
      </w:pPr>
      <w:rPr>
        <w:rFonts w:hint="default"/>
        <w:lang w:val="en-US" w:eastAsia="en-US" w:bidi="ar-SA"/>
      </w:rPr>
    </w:lvl>
    <w:lvl w:ilvl="4">
      <w:numFmt w:val="bullet"/>
      <w:lvlText w:val="•"/>
      <w:lvlJc w:val="left"/>
      <w:pPr>
        <w:ind w:left="5007" w:hanging="418"/>
      </w:pPr>
      <w:rPr>
        <w:rFonts w:hint="default"/>
        <w:lang w:val="en-US" w:eastAsia="en-US" w:bidi="ar-SA"/>
      </w:rPr>
    </w:lvl>
    <w:lvl w:ilvl="5">
      <w:numFmt w:val="bullet"/>
      <w:lvlText w:val="•"/>
      <w:lvlJc w:val="left"/>
      <w:pPr>
        <w:ind w:left="5969" w:hanging="418"/>
      </w:pPr>
      <w:rPr>
        <w:rFonts w:hint="default"/>
        <w:lang w:val="en-US" w:eastAsia="en-US" w:bidi="ar-SA"/>
      </w:rPr>
    </w:lvl>
    <w:lvl w:ilvl="6">
      <w:numFmt w:val="bullet"/>
      <w:lvlText w:val="•"/>
      <w:lvlJc w:val="left"/>
      <w:pPr>
        <w:ind w:left="6930" w:hanging="418"/>
      </w:pPr>
      <w:rPr>
        <w:rFonts w:hint="default"/>
        <w:lang w:val="en-US" w:eastAsia="en-US" w:bidi="ar-SA"/>
      </w:rPr>
    </w:lvl>
    <w:lvl w:ilvl="7">
      <w:numFmt w:val="bullet"/>
      <w:lvlText w:val="•"/>
      <w:lvlJc w:val="left"/>
      <w:pPr>
        <w:ind w:left="7892" w:hanging="418"/>
      </w:pPr>
      <w:rPr>
        <w:rFonts w:hint="default"/>
        <w:lang w:val="en-US" w:eastAsia="en-US" w:bidi="ar-SA"/>
      </w:rPr>
    </w:lvl>
    <w:lvl w:ilvl="8">
      <w:numFmt w:val="bullet"/>
      <w:lvlText w:val="•"/>
      <w:lvlJc w:val="left"/>
      <w:pPr>
        <w:ind w:left="8854" w:hanging="418"/>
      </w:pPr>
      <w:rPr>
        <w:rFonts w:hint="default"/>
        <w:lang w:val="en-US" w:eastAsia="en-US" w:bidi="ar-SA"/>
      </w:rPr>
    </w:lvl>
  </w:abstractNum>
  <w:abstractNum w:abstractNumId="3" w15:restartNumberingAfterBreak="0">
    <w:nsid w:val="11C86185"/>
    <w:multiLevelType w:val="multilevel"/>
    <w:tmpl w:val="101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56A8"/>
    <w:multiLevelType w:val="multilevel"/>
    <w:tmpl w:val="779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82B80"/>
    <w:multiLevelType w:val="hybridMultilevel"/>
    <w:tmpl w:val="F3023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780190"/>
    <w:multiLevelType w:val="multilevel"/>
    <w:tmpl w:val="38AE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A3879"/>
    <w:multiLevelType w:val="multilevel"/>
    <w:tmpl w:val="72D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61E06"/>
    <w:multiLevelType w:val="hybridMultilevel"/>
    <w:tmpl w:val="30C07DBE"/>
    <w:lvl w:ilvl="0" w:tplc="40090001">
      <w:start w:val="1"/>
      <w:numFmt w:val="bullet"/>
      <w:lvlText w:val=""/>
      <w:lvlJc w:val="left"/>
      <w:pPr>
        <w:ind w:left="1092" w:hanging="360"/>
      </w:pPr>
      <w:rPr>
        <w:rFonts w:ascii="Symbol" w:hAnsi="Symbol" w:hint="default"/>
      </w:rPr>
    </w:lvl>
    <w:lvl w:ilvl="1" w:tplc="FFFFFFFF" w:tentative="1">
      <w:start w:val="1"/>
      <w:numFmt w:val="bullet"/>
      <w:lvlText w:val="o"/>
      <w:lvlJc w:val="left"/>
      <w:pPr>
        <w:ind w:left="1812" w:hanging="360"/>
      </w:pPr>
      <w:rPr>
        <w:rFonts w:ascii="Courier New" w:hAnsi="Courier New" w:cs="Courier New" w:hint="default"/>
      </w:rPr>
    </w:lvl>
    <w:lvl w:ilvl="2" w:tplc="FFFFFFFF" w:tentative="1">
      <w:start w:val="1"/>
      <w:numFmt w:val="bullet"/>
      <w:lvlText w:val=""/>
      <w:lvlJc w:val="left"/>
      <w:pPr>
        <w:ind w:left="2532" w:hanging="360"/>
      </w:pPr>
      <w:rPr>
        <w:rFonts w:ascii="Wingdings" w:hAnsi="Wingdings" w:hint="default"/>
      </w:rPr>
    </w:lvl>
    <w:lvl w:ilvl="3" w:tplc="FFFFFFFF" w:tentative="1">
      <w:start w:val="1"/>
      <w:numFmt w:val="bullet"/>
      <w:lvlText w:val=""/>
      <w:lvlJc w:val="left"/>
      <w:pPr>
        <w:ind w:left="3252" w:hanging="360"/>
      </w:pPr>
      <w:rPr>
        <w:rFonts w:ascii="Symbol" w:hAnsi="Symbol" w:hint="default"/>
      </w:rPr>
    </w:lvl>
    <w:lvl w:ilvl="4" w:tplc="FFFFFFFF" w:tentative="1">
      <w:start w:val="1"/>
      <w:numFmt w:val="bullet"/>
      <w:lvlText w:val="o"/>
      <w:lvlJc w:val="left"/>
      <w:pPr>
        <w:ind w:left="3972" w:hanging="360"/>
      </w:pPr>
      <w:rPr>
        <w:rFonts w:ascii="Courier New" w:hAnsi="Courier New" w:cs="Courier New" w:hint="default"/>
      </w:rPr>
    </w:lvl>
    <w:lvl w:ilvl="5" w:tplc="FFFFFFFF" w:tentative="1">
      <w:start w:val="1"/>
      <w:numFmt w:val="bullet"/>
      <w:lvlText w:val=""/>
      <w:lvlJc w:val="left"/>
      <w:pPr>
        <w:ind w:left="4692" w:hanging="360"/>
      </w:pPr>
      <w:rPr>
        <w:rFonts w:ascii="Wingdings" w:hAnsi="Wingdings" w:hint="default"/>
      </w:rPr>
    </w:lvl>
    <w:lvl w:ilvl="6" w:tplc="FFFFFFFF" w:tentative="1">
      <w:start w:val="1"/>
      <w:numFmt w:val="bullet"/>
      <w:lvlText w:val=""/>
      <w:lvlJc w:val="left"/>
      <w:pPr>
        <w:ind w:left="5412" w:hanging="360"/>
      </w:pPr>
      <w:rPr>
        <w:rFonts w:ascii="Symbol" w:hAnsi="Symbol" w:hint="default"/>
      </w:rPr>
    </w:lvl>
    <w:lvl w:ilvl="7" w:tplc="FFFFFFFF" w:tentative="1">
      <w:start w:val="1"/>
      <w:numFmt w:val="bullet"/>
      <w:lvlText w:val="o"/>
      <w:lvlJc w:val="left"/>
      <w:pPr>
        <w:ind w:left="6132" w:hanging="360"/>
      </w:pPr>
      <w:rPr>
        <w:rFonts w:ascii="Courier New" w:hAnsi="Courier New" w:cs="Courier New" w:hint="default"/>
      </w:rPr>
    </w:lvl>
    <w:lvl w:ilvl="8" w:tplc="FFFFFFFF" w:tentative="1">
      <w:start w:val="1"/>
      <w:numFmt w:val="bullet"/>
      <w:lvlText w:val=""/>
      <w:lvlJc w:val="left"/>
      <w:pPr>
        <w:ind w:left="6852" w:hanging="360"/>
      </w:pPr>
      <w:rPr>
        <w:rFonts w:ascii="Wingdings" w:hAnsi="Wingdings" w:hint="default"/>
      </w:rPr>
    </w:lvl>
  </w:abstractNum>
  <w:abstractNum w:abstractNumId="9" w15:restartNumberingAfterBreak="0">
    <w:nsid w:val="351D5AA9"/>
    <w:multiLevelType w:val="multilevel"/>
    <w:tmpl w:val="9FA2760C"/>
    <w:lvl w:ilvl="0">
      <w:start w:val="5"/>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530" w:hanging="360"/>
      </w:pPr>
      <w:rPr>
        <w:rFonts w:hint="default"/>
        <w:lang w:val="en-US" w:eastAsia="en-US" w:bidi="ar-SA"/>
      </w:rPr>
    </w:lvl>
    <w:lvl w:ilvl="4">
      <w:numFmt w:val="bullet"/>
      <w:lvlText w:val="•"/>
      <w:lvlJc w:val="left"/>
      <w:pPr>
        <w:ind w:left="4566" w:hanging="360"/>
      </w:pPr>
      <w:rPr>
        <w:rFonts w:hint="default"/>
        <w:lang w:val="en-US" w:eastAsia="en-US" w:bidi="ar-SA"/>
      </w:rPr>
    </w:lvl>
    <w:lvl w:ilvl="5">
      <w:numFmt w:val="bullet"/>
      <w:lvlText w:val="•"/>
      <w:lvlJc w:val="left"/>
      <w:pPr>
        <w:ind w:left="5601" w:hanging="360"/>
      </w:pPr>
      <w:rPr>
        <w:rFonts w:hint="default"/>
        <w:lang w:val="en-US" w:eastAsia="en-US" w:bidi="ar-SA"/>
      </w:rPr>
    </w:lvl>
    <w:lvl w:ilvl="6">
      <w:numFmt w:val="bullet"/>
      <w:lvlText w:val="•"/>
      <w:lvlJc w:val="left"/>
      <w:pPr>
        <w:ind w:left="6636" w:hanging="360"/>
      </w:pPr>
      <w:rPr>
        <w:rFonts w:hint="default"/>
        <w:lang w:val="en-US" w:eastAsia="en-US" w:bidi="ar-SA"/>
      </w:rPr>
    </w:lvl>
    <w:lvl w:ilvl="7">
      <w:numFmt w:val="bullet"/>
      <w:lvlText w:val="•"/>
      <w:lvlJc w:val="left"/>
      <w:pPr>
        <w:ind w:left="7672" w:hanging="360"/>
      </w:pPr>
      <w:rPr>
        <w:rFonts w:hint="default"/>
        <w:lang w:val="en-US" w:eastAsia="en-US" w:bidi="ar-SA"/>
      </w:rPr>
    </w:lvl>
    <w:lvl w:ilvl="8">
      <w:numFmt w:val="bullet"/>
      <w:lvlText w:val="•"/>
      <w:lvlJc w:val="left"/>
      <w:pPr>
        <w:ind w:left="8707" w:hanging="360"/>
      </w:pPr>
      <w:rPr>
        <w:rFonts w:hint="default"/>
        <w:lang w:val="en-US" w:eastAsia="en-US" w:bidi="ar-SA"/>
      </w:rPr>
    </w:lvl>
  </w:abstractNum>
  <w:abstractNum w:abstractNumId="10" w15:restartNumberingAfterBreak="0">
    <w:nsid w:val="3BC95225"/>
    <w:multiLevelType w:val="hybridMultilevel"/>
    <w:tmpl w:val="1332B960"/>
    <w:lvl w:ilvl="0" w:tplc="34AAD286">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1" w:tplc="D5A81FCE">
      <w:numFmt w:val="bullet"/>
      <w:lvlText w:val="•"/>
      <w:lvlJc w:val="left"/>
      <w:pPr>
        <w:ind w:left="2391" w:hanging="360"/>
      </w:pPr>
      <w:rPr>
        <w:rFonts w:hint="default"/>
        <w:lang w:val="en-US" w:eastAsia="en-US" w:bidi="ar-SA"/>
      </w:rPr>
    </w:lvl>
    <w:lvl w:ilvl="2" w:tplc="92462E70">
      <w:numFmt w:val="bullet"/>
      <w:lvlText w:val="•"/>
      <w:lvlJc w:val="left"/>
      <w:pPr>
        <w:ind w:left="3323" w:hanging="360"/>
      </w:pPr>
      <w:rPr>
        <w:rFonts w:hint="default"/>
        <w:lang w:val="en-US" w:eastAsia="en-US" w:bidi="ar-SA"/>
      </w:rPr>
    </w:lvl>
    <w:lvl w:ilvl="3" w:tplc="E03294EA">
      <w:numFmt w:val="bullet"/>
      <w:lvlText w:val="•"/>
      <w:lvlJc w:val="left"/>
      <w:pPr>
        <w:ind w:left="4255" w:hanging="360"/>
      </w:pPr>
      <w:rPr>
        <w:rFonts w:hint="default"/>
        <w:lang w:val="en-US" w:eastAsia="en-US" w:bidi="ar-SA"/>
      </w:rPr>
    </w:lvl>
    <w:lvl w:ilvl="4" w:tplc="71D0CBAE">
      <w:numFmt w:val="bullet"/>
      <w:lvlText w:val="•"/>
      <w:lvlJc w:val="left"/>
      <w:pPr>
        <w:ind w:left="5187" w:hanging="360"/>
      </w:pPr>
      <w:rPr>
        <w:rFonts w:hint="default"/>
        <w:lang w:val="en-US" w:eastAsia="en-US" w:bidi="ar-SA"/>
      </w:rPr>
    </w:lvl>
    <w:lvl w:ilvl="5" w:tplc="81FAC758">
      <w:numFmt w:val="bullet"/>
      <w:lvlText w:val="•"/>
      <w:lvlJc w:val="left"/>
      <w:pPr>
        <w:ind w:left="6119" w:hanging="360"/>
      </w:pPr>
      <w:rPr>
        <w:rFonts w:hint="default"/>
        <w:lang w:val="en-US" w:eastAsia="en-US" w:bidi="ar-SA"/>
      </w:rPr>
    </w:lvl>
    <w:lvl w:ilvl="6" w:tplc="02165A06">
      <w:numFmt w:val="bullet"/>
      <w:lvlText w:val="•"/>
      <w:lvlJc w:val="left"/>
      <w:pPr>
        <w:ind w:left="7050" w:hanging="360"/>
      </w:pPr>
      <w:rPr>
        <w:rFonts w:hint="default"/>
        <w:lang w:val="en-US" w:eastAsia="en-US" w:bidi="ar-SA"/>
      </w:rPr>
    </w:lvl>
    <w:lvl w:ilvl="7" w:tplc="10E0E07C">
      <w:numFmt w:val="bullet"/>
      <w:lvlText w:val="•"/>
      <w:lvlJc w:val="left"/>
      <w:pPr>
        <w:ind w:left="7982" w:hanging="360"/>
      </w:pPr>
      <w:rPr>
        <w:rFonts w:hint="default"/>
        <w:lang w:val="en-US" w:eastAsia="en-US" w:bidi="ar-SA"/>
      </w:rPr>
    </w:lvl>
    <w:lvl w:ilvl="8" w:tplc="6EC28006">
      <w:numFmt w:val="bullet"/>
      <w:lvlText w:val="•"/>
      <w:lvlJc w:val="left"/>
      <w:pPr>
        <w:ind w:left="8914" w:hanging="360"/>
      </w:pPr>
      <w:rPr>
        <w:rFonts w:hint="default"/>
        <w:lang w:val="en-US" w:eastAsia="en-US" w:bidi="ar-SA"/>
      </w:rPr>
    </w:lvl>
  </w:abstractNum>
  <w:abstractNum w:abstractNumId="11" w15:restartNumberingAfterBreak="0">
    <w:nsid w:val="3C084C43"/>
    <w:multiLevelType w:val="hybridMultilevel"/>
    <w:tmpl w:val="F53812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6C07C4"/>
    <w:multiLevelType w:val="multilevel"/>
    <w:tmpl w:val="1A4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F62B5"/>
    <w:multiLevelType w:val="multilevel"/>
    <w:tmpl w:val="0E8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F2FDF"/>
    <w:multiLevelType w:val="multilevel"/>
    <w:tmpl w:val="783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13685"/>
    <w:multiLevelType w:val="multilevel"/>
    <w:tmpl w:val="8B8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E6B8E"/>
    <w:multiLevelType w:val="hybridMultilevel"/>
    <w:tmpl w:val="5A44686C"/>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7" w15:restartNumberingAfterBreak="0">
    <w:nsid w:val="4FFC31D4"/>
    <w:multiLevelType w:val="hybridMultilevel"/>
    <w:tmpl w:val="B468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564A21"/>
    <w:multiLevelType w:val="multilevel"/>
    <w:tmpl w:val="459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E598F"/>
    <w:multiLevelType w:val="multilevel"/>
    <w:tmpl w:val="222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4161B"/>
    <w:multiLevelType w:val="hybridMultilevel"/>
    <w:tmpl w:val="92B6F8AA"/>
    <w:lvl w:ilvl="0" w:tplc="40090001">
      <w:start w:val="1"/>
      <w:numFmt w:val="bullet"/>
      <w:lvlText w:val=""/>
      <w:lvlJc w:val="left"/>
      <w:pPr>
        <w:ind w:left="1451" w:hanging="360"/>
      </w:pPr>
      <w:rPr>
        <w:rFonts w:ascii="Symbol" w:hAnsi="Symbol" w:hint="default"/>
      </w:rPr>
    </w:lvl>
    <w:lvl w:ilvl="1" w:tplc="40090003" w:tentative="1">
      <w:start w:val="1"/>
      <w:numFmt w:val="bullet"/>
      <w:lvlText w:val="o"/>
      <w:lvlJc w:val="left"/>
      <w:pPr>
        <w:ind w:left="2171" w:hanging="360"/>
      </w:pPr>
      <w:rPr>
        <w:rFonts w:ascii="Courier New" w:hAnsi="Courier New" w:cs="Courier New" w:hint="default"/>
      </w:rPr>
    </w:lvl>
    <w:lvl w:ilvl="2" w:tplc="40090005" w:tentative="1">
      <w:start w:val="1"/>
      <w:numFmt w:val="bullet"/>
      <w:lvlText w:val=""/>
      <w:lvlJc w:val="left"/>
      <w:pPr>
        <w:ind w:left="2891" w:hanging="360"/>
      </w:pPr>
      <w:rPr>
        <w:rFonts w:ascii="Wingdings" w:hAnsi="Wingdings" w:hint="default"/>
      </w:rPr>
    </w:lvl>
    <w:lvl w:ilvl="3" w:tplc="40090001" w:tentative="1">
      <w:start w:val="1"/>
      <w:numFmt w:val="bullet"/>
      <w:lvlText w:val=""/>
      <w:lvlJc w:val="left"/>
      <w:pPr>
        <w:ind w:left="3611" w:hanging="360"/>
      </w:pPr>
      <w:rPr>
        <w:rFonts w:ascii="Symbol" w:hAnsi="Symbol" w:hint="default"/>
      </w:rPr>
    </w:lvl>
    <w:lvl w:ilvl="4" w:tplc="40090003" w:tentative="1">
      <w:start w:val="1"/>
      <w:numFmt w:val="bullet"/>
      <w:lvlText w:val="o"/>
      <w:lvlJc w:val="left"/>
      <w:pPr>
        <w:ind w:left="4331" w:hanging="360"/>
      </w:pPr>
      <w:rPr>
        <w:rFonts w:ascii="Courier New" w:hAnsi="Courier New" w:cs="Courier New" w:hint="default"/>
      </w:rPr>
    </w:lvl>
    <w:lvl w:ilvl="5" w:tplc="40090005" w:tentative="1">
      <w:start w:val="1"/>
      <w:numFmt w:val="bullet"/>
      <w:lvlText w:val=""/>
      <w:lvlJc w:val="left"/>
      <w:pPr>
        <w:ind w:left="5051" w:hanging="360"/>
      </w:pPr>
      <w:rPr>
        <w:rFonts w:ascii="Wingdings" w:hAnsi="Wingdings" w:hint="default"/>
      </w:rPr>
    </w:lvl>
    <w:lvl w:ilvl="6" w:tplc="40090001" w:tentative="1">
      <w:start w:val="1"/>
      <w:numFmt w:val="bullet"/>
      <w:lvlText w:val=""/>
      <w:lvlJc w:val="left"/>
      <w:pPr>
        <w:ind w:left="5771" w:hanging="360"/>
      </w:pPr>
      <w:rPr>
        <w:rFonts w:ascii="Symbol" w:hAnsi="Symbol" w:hint="default"/>
      </w:rPr>
    </w:lvl>
    <w:lvl w:ilvl="7" w:tplc="40090003" w:tentative="1">
      <w:start w:val="1"/>
      <w:numFmt w:val="bullet"/>
      <w:lvlText w:val="o"/>
      <w:lvlJc w:val="left"/>
      <w:pPr>
        <w:ind w:left="6491" w:hanging="360"/>
      </w:pPr>
      <w:rPr>
        <w:rFonts w:ascii="Courier New" w:hAnsi="Courier New" w:cs="Courier New" w:hint="default"/>
      </w:rPr>
    </w:lvl>
    <w:lvl w:ilvl="8" w:tplc="40090005" w:tentative="1">
      <w:start w:val="1"/>
      <w:numFmt w:val="bullet"/>
      <w:lvlText w:val=""/>
      <w:lvlJc w:val="left"/>
      <w:pPr>
        <w:ind w:left="7211" w:hanging="360"/>
      </w:pPr>
      <w:rPr>
        <w:rFonts w:ascii="Wingdings" w:hAnsi="Wingdings" w:hint="default"/>
      </w:rPr>
    </w:lvl>
  </w:abstractNum>
  <w:abstractNum w:abstractNumId="21" w15:restartNumberingAfterBreak="0">
    <w:nsid w:val="62F350D3"/>
    <w:multiLevelType w:val="multilevel"/>
    <w:tmpl w:val="F3A4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FF02C9"/>
    <w:multiLevelType w:val="multilevel"/>
    <w:tmpl w:val="120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36714"/>
    <w:multiLevelType w:val="multilevel"/>
    <w:tmpl w:val="5BD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04506"/>
    <w:multiLevelType w:val="multilevel"/>
    <w:tmpl w:val="904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87E03"/>
    <w:multiLevelType w:val="multilevel"/>
    <w:tmpl w:val="0914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F3D9C"/>
    <w:multiLevelType w:val="multilevel"/>
    <w:tmpl w:val="985C917E"/>
    <w:lvl w:ilvl="0">
      <w:start w:val="4"/>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1"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721"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014" w:hanging="360"/>
      </w:pPr>
      <w:rPr>
        <w:rFonts w:hint="default"/>
        <w:lang w:val="en-US" w:eastAsia="en-US" w:bidi="ar-SA"/>
      </w:rPr>
    </w:lvl>
    <w:lvl w:ilvl="5">
      <w:numFmt w:val="bullet"/>
      <w:lvlText w:val="•"/>
      <w:lvlJc w:val="left"/>
      <w:pPr>
        <w:ind w:left="4308" w:hanging="360"/>
      </w:pPr>
      <w:rPr>
        <w:rFonts w:hint="default"/>
        <w:lang w:val="en-US" w:eastAsia="en-US" w:bidi="ar-SA"/>
      </w:rPr>
    </w:lvl>
    <w:lvl w:ilvl="6">
      <w:numFmt w:val="bullet"/>
      <w:lvlText w:val="•"/>
      <w:lvlJc w:val="left"/>
      <w:pPr>
        <w:ind w:left="5602"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27" w15:restartNumberingAfterBreak="0">
    <w:nsid w:val="79D536A6"/>
    <w:multiLevelType w:val="hybridMultilevel"/>
    <w:tmpl w:val="56B02B4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6"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794E53"/>
    <w:multiLevelType w:val="hybridMultilevel"/>
    <w:tmpl w:val="48F2E002"/>
    <w:lvl w:ilvl="0" w:tplc="5AC4655E">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645DFE">
      <w:numFmt w:val="bullet"/>
      <w:lvlText w:val="•"/>
      <w:lvlJc w:val="left"/>
      <w:pPr>
        <w:ind w:left="2391" w:hanging="360"/>
      </w:pPr>
      <w:rPr>
        <w:rFonts w:hint="default"/>
        <w:lang w:val="en-US" w:eastAsia="en-US" w:bidi="ar-SA"/>
      </w:rPr>
    </w:lvl>
    <w:lvl w:ilvl="2" w:tplc="2D80CC12">
      <w:numFmt w:val="bullet"/>
      <w:lvlText w:val="•"/>
      <w:lvlJc w:val="left"/>
      <w:pPr>
        <w:ind w:left="3323" w:hanging="360"/>
      </w:pPr>
      <w:rPr>
        <w:rFonts w:hint="default"/>
        <w:lang w:val="en-US" w:eastAsia="en-US" w:bidi="ar-SA"/>
      </w:rPr>
    </w:lvl>
    <w:lvl w:ilvl="3" w:tplc="6292D428">
      <w:numFmt w:val="bullet"/>
      <w:lvlText w:val="•"/>
      <w:lvlJc w:val="left"/>
      <w:pPr>
        <w:ind w:left="4255" w:hanging="360"/>
      </w:pPr>
      <w:rPr>
        <w:rFonts w:hint="default"/>
        <w:lang w:val="en-US" w:eastAsia="en-US" w:bidi="ar-SA"/>
      </w:rPr>
    </w:lvl>
    <w:lvl w:ilvl="4" w:tplc="9D02C10C">
      <w:numFmt w:val="bullet"/>
      <w:lvlText w:val="•"/>
      <w:lvlJc w:val="left"/>
      <w:pPr>
        <w:ind w:left="5187" w:hanging="360"/>
      </w:pPr>
      <w:rPr>
        <w:rFonts w:hint="default"/>
        <w:lang w:val="en-US" w:eastAsia="en-US" w:bidi="ar-SA"/>
      </w:rPr>
    </w:lvl>
    <w:lvl w:ilvl="5" w:tplc="A216B7B4">
      <w:numFmt w:val="bullet"/>
      <w:lvlText w:val="•"/>
      <w:lvlJc w:val="left"/>
      <w:pPr>
        <w:ind w:left="6119" w:hanging="360"/>
      </w:pPr>
      <w:rPr>
        <w:rFonts w:hint="default"/>
        <w:lang w:val="en-US" w:eastAsia="en-US" w:bidi="ar-SA"/>
      </w:rPr>
    </w:lvl>
    <w:lvl w:ilvl="6" w:tplc="204688A2">
      <w:numFmt w:val="bullet"/>
      <w:lvlText w:val="•"/>
      <w:lvlJc w:val="left"/>
      <w:pPr>
        <w:ind w:left="7050" w:hanging="360"/>
      </w:pPr>
      <w:rPr>
        <w:rFonts w:hint="default"/>
        <w:lang w:val="en-US" w:eastAsia="en-US" w:bidi="ar-SA"/>
      </w:rPr>
    </w:lvl>
    <w:lvl w:ilvl="7" w:tplc="19BA4468">
      <w:numFmt w:val="bullet"/>
      <w:lvlText w:val="•"/>
      <w:lvlJc w:val="left"/>
      <w:pPr>
        <w:ind w:left="7982" w:hanging="360"/>
      </w:pPr>
      <w:rPr>
        <w:rFonts w:hint="default"/>
        <w:lang w:val="en-US" w:eastAsia="en-US" w:bidi="ar-SA"/>
      </w:rPr>
    </w:lvl>
    <w:lvl w:ilvl="8" w:tplc="D13C9BF6">
      <w:numFmt w:val="bullet"/>
      <w:lvlText w:val="•"/>
      <w:lvlJc w:val="left"/>
      <w:pPr>
        <w:ind w:left="8914" w:hanging="360"/>
      </w:pPr>
      <w:rPr>
        <w:rFonts w:hint="default"/>
        <w:lang w:val="en-US" w:eastAsia="en-US" w:bidi="ar-SA"/>
      </w:rPr>
    </w:lvl>
  </w:abstractNum>
  <w:abstractNum w:abstractNumId="29" w15:restartNumberingAfterBreak="0">
    <w:nsid w:val="7D1D0987"/>
    <w:multiLevelType w:val="multilevel"/>
    <w:tmpl w:val="640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521223">
    <w:abstractNumId w:val="28"/>
  </w:num>
  <w:num w:numId="2" w16cid:durableId="1838418998">
    <w:abstractNumId w:val="9"/>
  </w:num>
  <w:num w:numId="3" w16cid:durableId="323511827">
    <w:abstractNumId w:val="10"/>
  </w:num>
  <w:num w:numId="4" w16cid:durableId="1186402778">
    <w:abstractNumId w:val="26"/>
  </w:num>
  <w:num w:numId="5" w16cid:durableId="1194415130">
    <w:abstractNumId w:val="2"/>
  </w:num>
  <w:num w:numId="6" w16cid:durableId="191379416">
    <w:abstractNumId w:val="8"/>
  </w:num>
  <w:num w:numId="7" w16cid:durableId="2083138868">
    <w:abstractNumId w:val="1"/>
  </w:num>
  <w:num w:numId="8" w16cid:durableId="1247347479">
    <w:abstractNumId w:val="16"/>
  </w:num>
  <w:num w:numId="9" w16cid:durableId="1619754559">
    <w:abstractNumId w:val="27"/>
  </w:num>
  <w:num w:numId="10" w16cid:durableId="870385360">
    <w:abstractNumId w:val="5"/>
  </w:num>
  <w:num w:numId="11" w16cid:durableId="1976250219">
    <w:abstractNumId w:val="17"/>
  </w:num>
  <w:num w:numId="12" w16cid:durableId="369765237">
    <w:abstractNumId w:val="6"/>
  </w:num>
  <w:num w:numId="13" w16cid:durableId="1586571383">
    <w:abstractNumId w:val="0"/>
  </w:num>
  <w:num w:numId="14" w16cid:durableId="1007750872">
    <w:abstractNumId w:val="22"/>
  </w:num>
  <w:num w:numId="15" w16cid:durableId="697774828">
    <w:abstractNumId w:val="11"/>
  </w:num>
  <w:num w:numId="16" w16cid:durableId="1716613212">
    <w:abstractNumId w:val="20"/>
  </w:num>
  <w:num w:numId="17" w16cid:durableId="1925721156">
    <w:abstractNumId w:val="13"/>
  </w:num>
  <w:num w:numId="18" w16cid:durableId="994337443">
    <w:abstractNumId w:val="24"/>
  </w:num>
  <w:num w:numId="19" w16cid:durableId="2031687471">
    <w:abstractNumId w:val="21"/>
  </w:num>
  <w:num w:numId="20" w16cid:durableId="1671954719">
    <w:abstractNumId w:val="4"/>
  </w:num>
  <w:num w:numId="21" w16cid:durableId="936981279">
    <w:abstractNumId w:val="12"/>
  </w:num>
  <w:num w:numId="22" w16cid:durableId="122620916">
    <w:abstractNumId w:val="25"/>
  </w:num>
  <w:num w:numId="23" w16cid:durableId="2035300763">
    <w:abstractNumId w:val="18"/>
  </w:num>
  <w:num w:numId="24" w16cid:durableId="899289913">
    <w:abstractNumId w:val="7"/>
  </w:num>
  <w:num w:numId="25" w16cid:durableId="198787234">
    <w:abstractNumId w:val="3"/>
  </w:num>
  <w:num w:numId="26" w16cid:durableId="1315377442">
    <w:abstractNumId w:val="19"/>
  </w:num>
  <w:num w:numId="27" w16cid:durableId="1038119299">
    <w:abstractNumId w:val="23"/>
  </w:num>
  <w:num w:numId="28" w16cid:durableId="1640768078">
    <w:abstractNumId w:val="14"/>
  </w:num>
  <w:num w:numId="29" w16cid:durableId="1614828052">
    <w:abstractNumId w:val="15"/>
  </w:num>
  <w:num w:numId="30" w16cid:durableId="1004285512">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2C15"/>
    <w:rsid w:val="00026B23"/>
    <w:rsid w:val="000775F0"/>
    <w:rsid w:val="00095425"/>
    <w:rsid w:val="0013295A"/>
    <w:rsid w:val="001423B3"/>
    <w:rsid w:val="00182C15"/>
    <w:rsid w:val="001942D4"/>
    <w:rsid w:val="001D1C61"/>
    <w:rsid w:val="001D7C44"/>
    <w:rsid w:val="0020353B"/>
    <w:rsid w:val="0023559E"/>
    <w:rsid w:val="002A30BC"/>
    <w:rsid w:val="002A3849"/>
    <w:rsid w:val="002B13D9"/>
    <w:rsid w:val="00306F86"/>
    <w:rsid w:val="00311EE2"/>
    <w:rsid w:val="00326D28"/>
    <w:rsid w:val="003939BA"/>
    <w:rsid w:val="003A4A3D"/>
    <w:rsid w:val="003E12DD"/>
    <w:rsid w:val="00411774"/>
    <w:rsid w:val="004430E1"/>
    <w:rsid w:val="00453622"/>
    <w:rsid w:val="0046393F"/>
    <w:rsid w:val="0047086D"/>
    <w:rsid w:val="0047610C"/>
    <w:rsid w:val="005152BD"/>
    <w:rsid w:val="00521904"/>
    <w:rsid w:val="005446A0"/>
    <w:rsid w:val="005461A7"/>
    <w:rsid w:val="00551B6B"/>
    <w:rsid w:val="0058575F"/>
    <w:rsid w:val="005E71C9"/>
    <w:rsid w:val="00612E5F"/>
    <w:rsid w:val="00627E22"/>
    <w:rsid w:val="0067363C"/>
    <w:rsid w:val="0067403B"/>
    <w:rsid w:val="006743DB"/>
    <w:rsid w:val="006914E2"/>
    <w:rsid w:val="006B1BA8"/>
    <w:rsid w:val="006C3C95"/>
    <w:rsid w:val="006C4F98"/>
    <w:rsid w:val="006E1049"/>
    <w:rsid w:val="007344DA"/>
    <w:rsid w:val="00752243"/>
    <w:rsid w:val="00755D55"/>
    <w:rsid w:val="00771AC0"/>
    <w:rsid w:val="00774E9B"/>
    <w:rsid w:val="008B54C0"/>
    <w:rsid w:val="008C1D14"/>
    <w:rsid w:val="008E65E6"/>
    <w:rsid w:val="00904E20"/>
    <w:rsid w:val="00952162"/>
    <w:rsid w:val="00966178"/>
    <w:rsid w:val="009D55DA"/>
    <w:rsid w:val="00A30B40"/>
    <w:rsid w:val="00A64B28"/>
    <w:rsid w:val="00A8262E"/>
    <w:rsid w:val="00AC4FE8"/>
    <w:rsid w:val="00B0405B"/>
    <w:rsid w:val="00B23975"/>
    <w:rsid w:val="00B415C8"/>
    <w:rsid w:val="00B83CC4"/>
    <w:rsid w:val="00B92A08"/>
    <w:rsid w:val="00C1026D"/>
    <w:rsid w:val="00C47E91"/>
    <w:rsid w:val="00CC0A8B"/>
    <w:rsid w:val="00CC3C84"/>
    <w:rsid w:val="00CD3326"/>
    <w:rsid w:val="00D77BF1"/>
    <w:rsid w:val="00D874F0"/>
    <w:rsid w:val="00E47B48"/>
    <w:rsid w:val="00F54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01FB"/>
  <w15:docId w15:val="{D94C43DA-FF56-4C9F-8AB7-905F56C1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31" w:right="10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94" w:right="285"/>
      <w:jc w:val="center"/>
      <w:outlineLvl w:val="0"/>
    </w:pPr>
    <w:rPr>
      <w:b/>
      <w:bCs/>
      <w:sz w:val="34"/>
      <w:szCs w:val="34"/>
    </w:rPr>
  </w:style>
  <w:style w:type="paragraph" w:styleId="Heading2">
    <w:name w:val="heading 2"/>
    <w:basedOn w:val="Normal"/>
    <w:uiPriority w:val="9"/>
    <w:unhideWhenUsed/>
    <w:qFormat/>
    <w:pPr>
      <w:ind w:left="732"/>
      <w:outlineLvl w:val="1"/>
    </w:pPr>
    <w:rPr>
      <w:b/>
      <w:bCs/>
      <w:sz w:val="32"/>
      <w:szCs w:val="32"/>
    </w:rPr>
  </w:style>
  <w:style w:type="paragraph" w:styleId="Heading3">
    <w:name w:val="heading 3"/>
    <w:basedOn w:val="Normal"/>
    <w:uiPriority w:val="9"/>
    <w:unhideWhenUsed/>
    <w:qFormat/>
    <w:pPr>
      <w:ind w:left="394"/>
      <w:jc w:val="center"/>
      <w:outlineLvl w:val="2"/>
    </w:pPr>
    <w:rPr>
      <w:b/>
      <w:bCs/>
      <w:sz w:val="32"/>
      <w:szCs w:val="32"/>
    </w:rPr>
  </w:style>
  <w:style w:type="paragraph" w:styleId="Heading4">
    <w:name w:val="heading 4"/>
    <w:basedOn w:val="Normal"/>
    <w:uiPriority w:val="9"/>
    <w:unhideWhenUsed/>
    <w:qFormat/>
    <w:pPr>
      <w:spacing w:before="73"/>
      <w:ind w:left="732"/>
      <w:outlineLvl w:val="3"/>
    </w:pPr>
    <w:rPr>
      <w:b/>
      <w:bCs/>
      <w:i/>
      <w:iCs/>
      <w:sz w:val="32"/>
      <w:szCs w:val="32"/>
    </w:rPr>
  </w:style>
  <w:style w:type="paragraph" w:styleId="Heading5">
    <w:name w:val="heading 5"/>
    <w:basedOn w:val="Normal"/>
    <w:uiPriority w:val="9"/>
    <w:unhideWhenUsed/>
    <w:qFormat/>
    <w:pPr>
      <w:ind w:left="1148" w:hanging="416"/>
      <w:outlineLvl w:val="4"/>
    </w:pPr>
    <w:rPr>
      <w:b/>
      <w:bCs/>
      <w:sz w:val="28"/>
      <w:szCs w:val="28"/>
    </w:rPr>
  </w:style>
  <w:style w:type="paragraph" w:styleId="Heading6">
    <w:name w:val="heading 6"/>
    <w:basedOn w:val="Normal"/>
    <w:uiPriority w:val="9"/>
    <w:unhideWhenUsed/>
    <w:qFormat/>
    <w:pPr>
      <w:ind w:left="1151" w:hanging="419"/>
      <w:outlineLvl w:val="5"/>
    </w:pPr>
    <w:rPr>
      <w:b/>
      <w:bCs/>
      <w:sz w:val="28"/>
      <w:szCs w:val="28"/>
    </w:rPr>
  </w:style>
  <w:style w:type="paragraph" w:styleId="Heading7">
    <w:name w:val="heading 7"/>
    <w:basedOn w:val="Normal"/>
    <w:uiPriority w:val="1"/>
    <w:qFormat/>
    <w:pPr>
      <w:ind w:left="790"/>
      <w:outlineLvl w:val="6"/>
    </w:pPr>
    <w:rPr>
      <w:b/>
      <w:bCs/>
      <w:i/>
      <w:iCs/>
      <w:sz w:val="26"/>
      <w:szCs w:val="26"/>
      <w:u w:val="single" w:color="000000"/>
    </w:rPr>
  </w:style>
  <w:style w:type="paragraph" w:styleId="Heading8">
    <w:name w:val="heading 8"/>
    <w:basedOn w:val="Normal"/>
    <w:uiPriority w:val="1"/>
    <w:qFormat/>
    <w:pPr>
      <w:ind w:left="732"/>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
      <w:ind w:left="732"/>
    </w:pPr>
    <w:rPr>
      <w:b/>
      <w:bCs/>
      <w:sz w:val="32"/>
      <w:szCs w:val="32"/>
    </w:rPr>
  </w:style>
  <w:style w:type="paragraph" w:styleId="TOC2">
    <w:name w:val="toc 2"/>
    <w:basedOn w:val="Normal"/>
    <w:uiPriority w:val="1"/>
    <w:qFormat/>
    <w:pPr>
      <w:spacing w:before="43"/>
      <w:ind w:left="1092" w:hanging="360"/>
    </w:pPr>
    <w:rPr>
      <w:i/>
      <w:iCs/>
      <w:sz w:val="24"/>
      <w:szCs w:val="24"/>
    </w:rPr>
  </w:style>
  <w:style w:type="paragraph" w:styleId="TOC3">
    <w:name w:val="toc 3"/>
    <w:basedOn w:val="Normal"/>
    <w:uiPriority w:val="1"/>
    <w:qFormat/>
    <w:pPr>
      <w:spacing w:before="43"/>
      <w:ind w:left="1511" w:hanging="539"/>
    </w:pPr>
    <w:rPr>
      <w:i/>
      <w:iCs/>
      <w:sz w:val="24"/>
      <w:szCs w:val="24"/>
    </w:rPr>
  </w:style>
  <w:style w:type="paragraph" w:styleId="TOC4">
    <w:name w:val="toc 4"/>
    <w:basedOn w:val="Normal"/>
    <w:uiPriority w:val="1"/>
    <w:qFormat/>
    <w:pPr>
      <w:spacing w:before="144"/>
      <w:ind w:left="1449" w:hanging="357"/>
    </w:pPr>
    <w:rPr>
      <w:i/>
      <w:i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E65E6"/>
    <w:rPr>
      <w:color w:val="0000FF" w:themeColor="hyperlink"/>
      <w:u w:val="single"/>
    </w:rPr>
  </w:style>
  <w:style w:type="character" w:styleId="UnresolvedMention">
    <w:name w:val="Unresolved Mention"/>
    <w:basedOn w:val="DefaultParagraphFont"/>
    <w:uiPriority w:val="99"/>
    <w:semiHidden/>
    <w:unhideWhenUsed/>
    <w:rsid w:val="008E65E6"/>
    <w:rPr>
      <w:color w:val="605E5C"/>
      <w:shd w:val="clear" w:color="auto" w:fill="E1DFDD"/>
    </w:rPr>
  </w:style>
  <w:style w:type="paragraph" w:styleId="NormalWeb">
    <w:name w:val="Normal (Web)"/>
    <w:basedOn w:val="Normal"/>
    <w:uiPriority w:val="99"/>
    <w:semiHidden/>
    <w:unhideWhenUsed/>
    <w:rsid w:val="00B2397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mozilla.org/en-US/docs/Web/JavaScrip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BayesWitnesses/m2cg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vercel.com/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hronos.org/webgl/" TargetMode="External"/><Relationship Id="rId10" Type="http://schemas.openxmlformats.org/officeDocument/2006/relationships/footer" Target="footer1.xml"/><Relationship Id="rId19" Type="http://schemas.openxmlformats.org/officeDocument/2006/relationships/hyperlink" Target="https://community.ibm.com/community/user/businessanalytics/blogs/steven-macko/2019/07/11/telco-customer-churn-111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github.com/oframe/ogl" TargetMode="External"/><Relationship Id="rId27" Type="http://schemas.openxmlformats.org/officeDocument/2006/relationships/header" Target="header1.xml"/><Relationship Id="rId28" Type="http://schemas.openxmlformats.org/officeDocument/2006/relationships/footer" Target="footer3.xm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D8C00-F680-4A97-878C-8A9ADB1D9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33</Pages>
  <Words>8057</Words>
  <Characters>45929</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Arush Masih</cp:lastModifiedBy>
  <cp:revision>52</cp:revision>
  <dcterms:created xsi:type="dcterms:W3CDTF">2026-09-10T08:51:00Z</dcterms:created>
  <dcterms:modified xsi:type="dcterms:W3CDTF">2026-09-11T07:52:00Z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