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overTitle"/>
        <w:spacing w:after="120" w:before="480"/>
      </w:pPr>
      <w:r>
        <w:rPr>
          <w:rFonts w:ascii="Arial" w:cs="Arial" w:eastAsia="Arial" w:hAnsi="Arial"/>
          <w:b/>
          <w:bCs/>
          <w:color w:val="1F3864"/>
          <w:sz w:val="56"/>
          <w:szCs w:val="56"/>
        </w:rPr>
        <w:t xml:space="preserve">NOVASPHERE</w:t>
      </w:r>
    </w:p>
    <w:p>
      <w:pPr>
        <w:pStyle w:val="CoverSub"/>
      </w:pPr>
      <w:r>
        <w:rPr>
          <w:rFonts w:ascii="Arial" w:cs="Arial" w:eastAsia="Arial" w:hAnsi="Arial"/>
          <w:color w:val="2E6DA4"/>
          <w:sz w:val="34"/>
          <w:szCs w:val="34"/>
        </w:rPr>
        <w:t xml:space="preserve">Cellular Network Performance</w:t>
      </w:r>
    </w:p>
    <w:p>
      <w:pPr>
        <w:pStyle w:val="CoverTitle"/>
      </w:pPr>
      <w:r>
        <w:rPr>
          <w:rFonts w:ascii="Arial" w:cs="Arial" w:eastAsia="Arial" w:hAnsi="Arial"/>
          <w:b/>
          <w:bCs/>
          <w:color w:val="1F3864"/>
          <w:sz w:val="44"/>
          <w:szCs w:val="44"/>
        </w:rPr>
        <w:t xml:space="preserve">Market &amp; Technology Analysis</w:t>
      </w:r>
    </w:p>
    <w:p>
      <w:pPr>
        <w:pBdr>
          <w:bottom w:val="single" w:color="1F3864" w:sz="4"/>
        </w:pBdr>
        <w:spacing w:after="80" w:before="80"/>
      </w:pPr>
      <w:r>
        <w:t xml:space="preserve"/>
      </w:r>
    </w:p>
    <w:p>
      <w:pPr>
        <w:spacing w:after="60" w:before="0" w:line="276"/>
        <w:jc w:val="center"/>
      </w:pPr>
      <w:r>
        <w:rPr>
          <w:rFonts w:ascii="Arial" w:cs="Arial" w:eastAsia="Arial" w:hAnsi="Arial"/>
          <w:b w:val="false"/>
          <w:bCs w:val="false"/>
          <w:i w:val="false"/>
          <w:iCs w:val="false"/>
          <w:color w:val="555555"/>
          <w:sz w:val="22"/>
          <w:szCs w:val="22"/>
        </w:rPr>
        <w:t xml:space="preserve">Document 2 of 4 — Udacity Nanodegree Project 2</w:t>
      </w:r>
    </w:p>
    <w:p>
      <w:pPr>
        <w:spacing w:after="60" w:before="0" w:line="276"/>
        <w:jc w:val="center"/>
      </w:pPr>
      <w:r>
        <w:rPr>
          <w:rFonts w:ascii="Arial" w:cs="Arial" w:eastAsia="Arial" w:hAnsi="Arial"/>
          <w:b w:val="false"/>
          <w:bCs w:val="false"/>
          <w:i w:val="false"/>
          <w:iCs w:val="false"/>
          <w:color w:val="555555"/>
          <w:sz w:val="22"/>
          <w:szCs w:val="22"/>
        </w:rPr>
        <w:t xml:space="preserve">Primary Dataset: 5G_Cellular_Network_Performance.csv</w:t>
      </w:r>
    </w:p>
    <w:p>
      <w:pPr>
        <w:spacing w:after="60" w:before="0" w:line="276"/>
        <w:jc w:val="center"/>
      </w:pPr>
      <w:r>
        <w:rPr>
          <w:rFonts w:ascii="Arial" w:cs="Arial" w:eastAsia="Arial" w:hAnsi="Arial"/>
          <w:b w:val="false"/>
          <w:bCs w:val="false"/>
          <w:i w:val="false"/>
          <w:iCs w:val="false"/>
          <w:color w:val="555555"/>
          <w:sz w:val="22"/>
          <w:szCs w:val="22"/>
        </w:rPr>
        <w:t xml:space="preserve">16,829 Records • 20 Localities • Patna, India • May 5 – June 10, 2023</w:t>
      </w:r>
    </w:p>
    <w:p>
      <w:pPr>
        <w:spacing w:after="200" w:before="0" w:line="276"/>
        <w:jc w:val="center"/>
      </w:pPr>
      <w:r>
        <w:rPr>
          <w:rFonts w:ascii="Arial" w:cs="Arial" w:eastAsia="Arial" w:hAnsi="Arial"/>
          <w:b w:val="false"/>
          <w:bCs w:val="false"/>
          <w:i w:val="false"/>
          <w:iCs w:val="false"/>
          <w:color w:val="555555"/>
          <w:sz w:val="22"/>
          <w:szCs w:val="22"/>
        </w:rPr>
        <w:t xml:space="preserve">Date: October 4, 2026</w:t>
      </w:r>
    </w:p>
    <w:p>
      <w:pPr>
        <w:spacing w:after="120" w:before="0" w:line="276"/>
        <w:jc w:val="center"/>
      </w:pPr>
      <w:r>
        <w:rPr>
          <w:rFonts w:ascii="Arial" w:cs="Arial" w:eastAsia="Arial" w:hAnsi="Arial"/>
          <w:b/>
          <w:bCs/>
          <w:i w:val="false"/>
          <w:iCs w:val="false"/>
          <w:color w:val="1F3864"/>
          <w:sz w:val="22"/>
          <w:szCs w:val="22"/>
        </w:rPr>
        <w:t xml:space="preserve">INTELLIGENCE FRAMING • ENTERPRISE IMPLICATIONS • DECISION ANALYSIS</w:t>
      </w:r>
    </w:p>
    <w:p>
      <w:pPr>
        <w:pBdr>
          <w:bottom w:val="single" w:color="1F3864" w:sz="4"/>
        </w:pBdr>
        <w:spacing w:after="80" w:before="80"/>
      </w:pPr>
      <w:r>
        <w:t xml:space="preserve"/>
      </w:r>
    </w:p>
    <w:p>
      <w:pPr>
        <w:spacing w:after="60" w:before="0" w:line="276"/>
        <w:jc w:val="center"/>
      </w:pPr>
      <w:r>
        <w:rPr>
          <w:rFonts w:ascii="Arial" w:cs="Arial" w:eastAsia="Arial" w:hAnsi="Arial"/>
          <w:b w:val="false"/>
          <w:bCs w:val="false"/>
          <w:i/>
          <w:iCs/>
          <w:color w:val="444444"/>
          <w:sz w:val="21"/>
          <w:szCs w:val="21"/>
        </w:rPr>
        <w:t xml:space="preserve">This document COMPLEMENTS the Research Report (Document 1).</w:t>
      </w:r>
    </w:p>
    <w:p>
      <w:pPr>
        <w:spacing w:after="360" w:before="0" w:line="276"/>
        <w:jc w:val="center"/>
      </w:pPr>
      <w:r>
        <w:rPr>
          <w:rFonts w:ascii="Arial" w:cs="Arial" w:eastAsia="Arial" w:hAnsi="Arial"/>
          <w:b w:val="false"/>
          <w:bCs w:val="false"/>
          <w:i/>
          <w:iCs/>
          <w:color w:val="444444"/>
          <w:sz w:val="21"/>
          <w:szCs w:val="21"/>
        </w:rPr>
        <w:t xml:space="preserve">It focuses on market/technology intelligence framing, enterprise implications, and decision-oriented analysis.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2"/>
          <w:szCs w:val="32"/>
        </w:rPr>
        <w:t xml:space="preserve">1. Executive Summary</w:t>
      </w:r>
    </w:p>
    <w:p>
      <w:pPr>
        <w:spacing w:after="160" w:before="0" w:line="276"/>
        <w:jc w:val="left"/>
      </w:pPr>
      <w:r>
        <w:rPr>
          <w:rFonts w:ascii="Arial" w:cs="Arial" w:eastAsia="Arial" w:hAnsi="Arial"/>
          <w:b w:val="false"/>
          <w:bCs w:val="false"/>
          <w:i w:val="false"/>
          <w:iCs w:val="false"/>
          <w:color w:val="000000"/>
          <w:sz w:val="22"/>
          <w:szCs w:val="22"/>
        </w:rPr>
        <w:t xml:space="preserve">This Market and Technology Analysis translates verified cellular network performance evidence from the NOVASPHERE dataset into technology intelligence, enterprise investigation areas, risk considerations, and decision priorities. It is designed to complement the Research Report (Document 1) and does not duplicate its methodology or detailed statistical analysis.</w:t>
      </w:r>
    </w:p>
    <w:p>
      <w:pPr>
        <w:pStyle w:val="Heading2"/>
        <w:spacing w:after="80" w:before="240"/>
      </w:pPr>
      <w:r>
        <w:rPr>
          <w:rFonts w:ascii="Arial" w:cs="Arial" w:eastAsia="Arial" w:hAnsi="Arial"/>
          <w:b/>
          <w:bCs/>
          <w:color w:val="2E6DA4"/>
          <w:sz w:val="26"/>
          <w:szCs w:val="26"/>
        </w:rPr>
        <w:t xml:space="preserve">Performance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9360"/>
            <w:gridSpan w:val="5"/>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[VERIFIED DATASET FACT] Network performance by technology type across all 16,829 records:</w:t>
            </w:r>
          </w:p>
        </w:tc>
      </w:tr>
      <w:tr>
        <w:trPr>
          <w:tblHeader/>
        </w:trPr>
        <w:tc>
          <w:tcPr>
            <w:tcW w:type="dxa" w:w="23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Network Type</w:t>
            </w:r>
          </w:p>
        </w:tc>
        <w:tc>
          <w:tcPr>
            <w:tcW w:type="dxa" w:w="1872"/>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Mean Throughput (Mbps)</w:t>
            </w:r>
          </w:p>
        </w:tc>
        <w:tc>
          <w:tcPr>
            <w:tcW w:type="dxa" w:w="1872"/>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Mean Latency (ms)</w:t>
            </w:r>
          </w:p>
        </w:tc>
        <w:tc>
          <w:tcPr>
            <w:tcW w:type="dxa" w:w="1638"/>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Records</w:t>
            </w:r>
          </w:p>
        </w:tc>
        <w:tc>
          <w:tcPr>
            <w:tcW w:type="dxa" w:w="1638"/>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 of Total</w:t>
            </w:r>
          </w:p>
        </w:tc>
      </w:tr>
      <w:tr>
        <w:tc>
          <w:tcPr>
            <w:tcW w:type="dxa" w:w="2340"/>
            <w:tcBorders>
              <w:top w:val="single" w:color="CCCCCC" w:sz="1"/>
              <w:left w:val="single" w:color="CCCCCC" w:sz="1"/>
              <w:bottom w:val="single" w:color="CCCCCC" w:sz="1"/>
              <w:right w:val="single" w:color="CCCCCC" w:sz="1"/>
            </w:tcBorders>
            <w:shd w:fill="F0F7FF" w:val="clear"/>
          </w:tcPr>
          <w:p>
            <w:pPr>
              <w:spacing w:after="60" w:before="60"/>
              <w:jc w:val="left"/>
            </w:pPr>
            <w:r>
              <w:rPr>
                <w:b/>
                <w:bCs/>
                <w:color w:val="000000"/>
                <w:sz w:val="20"/>
                <w:szCs w:val="20"/>
              </w:rPr>
              <w:t xml:space="preserve">5G</w:t>
            </w:r>
          </w:p>
        </w:tc>
        <w:tc>
          <w:tcPr>
            <w:tcW w:type="dxa" w:w="1872"/>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54.58</w:t>
            </w:r>
          </w:p>
        </w:tc>
        <w:tc>
          <w:tcPr>
            <w:tcW w:type="dxa" w:w="1872"/>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29.86</w:t>
            </w:r>
          </w:p>
        </w:tc>
        <w:tc>
          <w:tcPr>
            <w:tcW w:type="dxa" w:w="1638"/>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4,178</w:t>
            </w:r>
          </w:p>
        </w:tc>
        <w:tc>
          <w:tcPr>
            <w:tcW w:type="dxa" w:w="1638"/>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24.8%</w:t>
            </w:r>
          </w:p>
        </w:tc>
      </w:tr>
      <w:tr>
        <w:tc>
          <w:tcPr>
            <w:tcW w:type="dxa" w:w="23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4G</w:t>
            </w:r>
          </w:p>
        </w:tc>
        <w:tc>
          <w:tcPr>
            <w:tcW w:type="dxa" w:w="1872"/>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6.50</w:t>
            </w:r>
          </w:p>
        </w:tc>
        <w:tc>
          <w:tcPr>
            <w:tcW w:type="dxa" w:w="1872"/>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74.85</w:t>
            </w:r>
          </w:p>
        </w:tc>
        <w:tc>
          <w:tcPr>
            <w:tcW w:type="dxa" w:w="1638"/>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4,219</w:t>
            </w:r>
          </w:p>
        </w:tc>
        <w:tc>
          <w:tcPr>
            <w:tcW w:type="dxa" w:w="1638"/>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25.1%</w:t>
            </w:r>
          </w:p>
        </w:tc>
      </w:tr>
      <w:tr>
        <w:tc>
          <w:tcPr>
            <w:tcW w:type="dxa" w:w="23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LTE</w:t>
            </w:r>
          </w:p>
        </w:tc>
        <w:tc>
          <w:tcPr>
            <w:tcW w:type="dxa" w:w="1872"/>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1.99</w:t>
            </w:r>
          </w:p>
        </w:tc>
        <w:tc>
          <w:tcPr>
            <w:tcW w:type="dxa" w:w="1872"/>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150.50</w:t>
            </w:r>
          </w:p>
        </w:tc>
        <w:tc>
          <w:tcPr>
            <w:tcW w:type="dxa" w:w="1638"/>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4,224</w:t>
            </w:r>
          </w:p>
        </w:tc>
        <w:tc>
          <w:tcPr>
            <w:tcW w:type="dxa" w:w="1638"/>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25.1%</w:t>
            </w:r>
          </w:p>
        </w:tc>
      </w:tr>
      <w:tr>
        <w:tc>
          <w:tcPr>
            <w:tcW w:type="dxa" w:w="23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3G</w:t>
            </w:r>
          </w:p>
        </w:tc>
        <w:tc>
          <w:tcPr>
            <w:tcW w:type="dxa" w:w="1872"/>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2.01</w:t>
            </w:r>
          </w:p>
        </w:tc>
        <w:tc>
          <w:tcPr>
            <w:tcW w:type="dxa" w:w="1872"/>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149.41</w:t>
            </w:r>
          </w:p>
        </w:tc>
        <w:tc>
          <w:tcPr>
            <w:tcW w:type="dxa" w:w="1638"/>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4,208</w:t>
            </w:r>
          </w:p>
        </w:tc>
        <w:tc>
          <w:tcPr>
            <w:tcW w:type="dxa" w:w="1638"/>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25.0%</w:t>
            </w:r>
          </w:p>
        </w:tc>
      </w:tr>
      <w:tr>
        <w:tc>
          <w:tcPr>
            <w:tcW w:type="dxa" w:w="2340"/>
            <w:tcBorders>
              <w:top w:val="single" w:color="CCCCCC" w:sz="1"/>
              <w:left w:val="single" w:color="CCCCCC" w:sz="1"/>
              <w:bottom w:val="single" w:color="CCCCCC" w:sz="1"/>
              <w:right w:val="single" w:color="CCCCCC" w:sz="1"/>
            </w:tcBorders>
            <w:shd w:fill="EEF4FB" w:val="clear"/>
          </w:tcPr>
          <w:p>
            <w:pPr>
              <w:spacing w:after="60" w:before="60"/>
              <w:jc w:val="left"/>
            </w:pPr>
            <w:r>
              <w:rPr>
                <w:b/>
                <w:bCs/>
                <w:color w:val="000000"/>
                <w:sz w:val="20"/>
                <w:szCs w:val="20"/>
              </w:rPr>
              <w:t xml:space="preserve">TOTAL</w:t>
            </w:r>
          </w:p>
        </w:tc>
        <w:tc>
          <w:tcPr>
            <w:tcW w:type="dxa" w:w="1872"/>
            <w:tcBorders>
              <w:top w:val="single" w:color="CCCCCC" w:sz="1"/>
              <w:left w:val="single" w:color="CCCCCC" w:sz="1"/>
              <w:bottom w:val="single" w:color="CCCCCC" w:sz="1"/>
              <w:right w:val="single" w:color="CCCCCC" w:sz="1"/>
            </w:tcBorders>
            <w:shd w:fill="EEF4FB" w:val="clear"/>
          </w:tcPr>
          <w:p>
            <w:pPr>
              <w:spacing w:after="60" w:before="60"/>
              <w:jc w:val="left"/>
            </w:pPr>
            <w:r>
              <w:rPr>
                <w:b w:val="false"/>
                <w:bCs w:val="false"/>
                <w:color w:val="000000"/>
                <w:sz w:val="20"/>
                <w:szCs w:val="20"/>
              </w:rPr>
              <w:t xml:space="preserve"/>
            </w:r>
          </w:p>
        </w:tc>
        <w:tc>
          <w:tcPr>
            <w:tcW w:type="dxa" w:w="1872"/>
            <w:tcBorders>
              <w:top w:val="single" w:color="CCCCCC" w:sz="1"/>
              <w:left w:val="single" w:color="CCCCCC" w:sz="1"/>
              <w:bottom w:val="single" w:color="CCCCCC" w:sz="1"/>
              <w:right w:val="single" w:color="CCCCCC" w:sz="1"/>
            </w:tcBorders>
            <w:shd w:fill="EEF4FB" w:val="clear"/>
          </w:tcPr>
          <w:p>
            <w:pPr>
              <w:spacing w:after="60" w:before="60"/>
              <w:jc w:val="left"/>
            </w:pPr>
            <w:r>
              <w:rPr>
                <w:b w:val="false"/>
                <w:bCs w:val="false"/>
                <w:color w:val="000000"/>
                <w:sz w:val="20"/>
                <w:szCs w:val="20"/>
              </w:rPr>
              <w:t xml:space="preserve"/>
            </w:r>
          </w:p>
        </w:tc>
        <w:tc>
          <w:tcPr>
            <w:tcW w:type="dxa" w:w="1638"/>
            <w:tcBorders>
              <w:top w:val="single" w:color="CCCCCC" w:sz="1"/>
              <w:left w:val="single" w:color="CCCCCC" w:sz="1"/>
              <w:bottom w:val="single" w:color="CCCCCC" w:sz="1"/>
              <w:right w:val="single" w:color="CCCCCC" w:sz="1"/>
            </w:tcBorders>
            <w:shd w:fill="EEF4FB" w:val="clear"/>
          </w:tcPr>
          <w:p>
            <w:pPr>
              <w:spacing w:after="60" w:before="60"/>
              <w:jc w:val="center"/>
            </w:pPr>
            <w:r>
              <w:rPr>
                <w:b/>
                <w:bCs/>
                <w:color w:val="000000"/>
                <w:sz w:val="20"/>
                <w:szCs w:val="20"/>
              </w:rPr>
              <w:t xml:space="preserve">16,829</w:t>
            </w:r>
          </w:p>
        </w:tc>
        <w:tc>
          <w:tcPr>
            <w:tcW w:type="dxa" w:w="1638"/>
            <w:tcBorders>
              <w:top w:val="single" w:color="CCCCCC" w:sz="1"/>
              <w:left w:val="single" w:color="CCCCCC" w:sz="1"/>
              <w:bottom w:val="single" w:color="CCCCCC" w:sz="1"/>
              <w:right w:val="single" w:color="CCCCCC" w:sz="1"/>
            </w:tcBorders>
            <w:shd w:fill="EEF4FB" w:val="clear"/>
          </w:tcPr>
          <w:p>
            <w:pPr>
              <w:spacing w:after="60" w:before="60"/>
              <w:jc w:val="center"/>
            </w:pPr>
            <w:r>
              <w:rPr>
                <w:b/>
                <w:bCs/>
                <w:color w:val="000000"/>
                <w:sz w:val="20"/>
                <w:szCs w:val="20"/>
              </w:rPr>
              <w:t xml:space="preserve">100%</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Strongest Intelligence Signals</w:t>
      </w:r>
    </w:p>
    <w:p>
      <w:pPr>
        <w:pStyle w:val="ListParagraph"/>
        <w:numPr>
          <w:ilvl w:val="0"/>
          <w:numId w:val="2"/>
        </w:numPr>
        <w:spacing w:after="40" w:before="40"/>
      </w:pPr>
      <w:r>
        <w:rPr>
          <w:rFonts w:ascii="Arial" w:cs="Arial" w:eastAsia="Arial" w:hAnsi="Arial"/>
          <w:sz w:val="22"/>
          <w:szCs w:val="22"/>
        </w:rPr>
        <w:t xml:space="preserve">5G shows 8.4× higher observed throughput than 4G and 27× higher than 3G/LTE (54.58 vs. 6.50 vs. ~2 Mbps).</w:t>
      </w:r>
    </w:p>
    <w:p>
      <w:pPr>
        <w:pStyle w:val="ListParagraph"/>
        <w:numPr>
          <w:ilvl w:val="0"/>
          <w:numId w:val="2"/>
        </w:numPr>
        <w:spacing w:after="40" w:before="40"/>
      </w:pPr>
      <w:r>
        <w:rPr>
          <w:rFonts w:ascii="Arial" w:cs="Arial" w:eastAsia="Arial" w:hAnsi="Arial"/>
          <w:sz w:val="22"/>
          <w:szCs w:val="22"/>
        </w:rPr>
        <w:t xml:space="preserve">5G shows 60% lower observed latency than 4G and 80% lower than 3G/LTE (29.86 ms vs. 74.85 ms vs. ~150 ms).</w:t>
      </w:r>
    </w:p>
    <w:p>
      <w:pPr>
        <w:pStyle w:val="ListParagraph"/>
        <w:numPr>
          <w:ilvl w:val="0"/>
          <w:numId w:val="2"/>
        </w:numPr>
        <w:spacing w:after="40" w:before="40"/>
      </w:pPr>
      <w:r>
        <w:rPr>
          <w:rFonts w:ascii="Arial" w:cs="Arial" w:eastAsia="Arial" w:hAnsi="Arial"/>
          <w:sz w:val="22"/>
          <w:szCs w:val="22"/>
        </w:rPr>
        <w:t xml:space="preserve">Network technology type is the strongest observed source of performance differentiation in this dataset.</w:t>
      </w:r>
    </w:p>
    <w:p>
      <w:pPr>
        <w:pStyle w:val="ListParagraph"/>
        <w:numPr>
          <w:ilvl w:val="0"/>
          <w:numId w:val="2"/>
        </w:numPr>
        <w:spacing w:after="40" w:before="40"/>
      </w:pPr>
      <w:r>
        <w:rPr>
          <w:rFonts w:ascii="Arial" w:cs="Arial" w:eastAsia="Arial" w:hAnsi="Arial"/>
          <w:sz w:val="22"/>
          <w:szCs w:val="22"/>
        </w:rPr>
        <w:t xml:space="preserve">Observed 5G throughput (54.58 Mbps) falls significantly below global benchmarks (~203 Mbps Ookla, ~243 Mbps India).</w:t>
      </w:r>
    </w:p>
    <w:p>
      <w:pPr>
        <w:pStyle w:val="ListParagraph"/>
        <w:numPr>
          <w:ilvl w:val="0"/>
          <w:numId w:val="2"/>
        </w:numPr>
        <w:spacing w:after="40" w:before="40"/>
      </w:pPr>
      <w:r>
        <w:rPr>
          <w:rFonts w:ascii="Arial" w:cs="Arial" w:eastAsia="Arial" w:hAnsi="Arial"/>
          <w:sz w:val="22"/>
          <w:szCs w:val="22"/>
        </w:rPr>
        <w:t xml:space="preserve">Signal strength shows a moderate pooled association with performance (r = −0.4838 throughput, r = +0.5036 latency), but within each network type every |r| is below 0.03, so this is a network-mix effect and not evidence that signal drives performance.</w:t>
      </w:r>
    </w:p>
    <w:p>
      <w:pPr>
        <w:spacing w:after="6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2. Market and Technology Context</w:t>
      </w:r>
    </w:p>
    <w:p>
      <w:pPr>
        <w:spacing w:after="120" w:before="0" w:line="276"/>
        <w:jc w:val="left"/>
      </w:pPr>
      <w:r>
        <w:rPr>
          <w:rFonts w:ascii="Arial" w:cs="Arial" w:eastAsia="Arial" w:hAnsi="Arial"/>
          <w:b w:val="false"/>
          <w:bCs w:val="false"/>
          <w:i w:val="false"/>
          <w:iCs w:val="false"/>
          <w:color w:val="000000"/>
          <w:sz w:val="22"/>
          <w:szCs w:val="22"/>
        </w:rPr>
        <w:t xml:space="preserve">This section establishes the analytical context for interpreting the NOVASPHERE dataset findings within a market and technology intelligence framework.</w:t>
      </w:r>
    </w:p>
    <w:p>
      <w:pPr>
        <w:spacing w:after="160" w:before="0" w:line="276"/>
        <w:jc w:val="left"/>
      </w:pPr>
      <w:r>
        <w:rPr>
          <w:rFonts w:ascii="Arial" w:cs="Arial" w:eastAsia="Arial" w:hAnsi="Arial"/>
          <w:b/>
          <w:bCs/>
          <w:i w:val="false"/>
          <w:iCs w:val="false"/>
          <w:color w:val="1F3864"/>
          <w:sz w:val="22"/>
          <w:szCs w:val="22"/>
        </w:rPr>
        <w:t xml:space="preserve">This is a cellular network performance dataset, not a market-share or revenue dataset.</w:t>
      </w:r>
    </w:p>
    <w:p>
      <w:pPr>
        <w:pStyle w:val="Heading2"/>
        <w:spacing w:after="80" w:before="240"/>
      </w:pPr>
      <w:r>
        <w:rPr>
          <w:rFonts w:ascii="Arial" w:cs="Arial" w:eastAsia="Arial" w:hAnsi="Arial"/>
          <w:b/>
          <w:bCs/>
          <w:color w:val="2E6DA4"/>
          <w:sz w:val="26"/>
          <w:szCs w:val="26"/>
        </w:rPr>
        <w:t xml:space="preserve">What This Dataset Can Support</w:t>
      </w:r>
    </w:p>
    <w:p>
      <w:pPr>
        <w:pStyle w:val="ListParagraph"/>
        <w:numPr>
          <w:ilvl w:val="0"/>
          <w:numId w:val="2"/>
        </w:numPr>
        <w:spacing w:after="40" w:before="40"/>
      </w:pPr>
      <w:r>
        <w:rPr>
          <w:rFonts w:ascii="Arial" w:cs="Arial" w:eastAsia="Arial" w:hAnsi="Arial"/>
          <w:sz w:val="22"/>
          <w:szCs w:val="22"/>
        </w:rPr>
        <w:t xml:space="preserve">Cross-technology performance comparisons (3G vs. 4G vs. LTE vs. 5G)</w:t>
      </w:r>
    </w:p>
    <w:p>
      <w:pPr>
        <w:pStyle w:val="ListParagraph"/>
        <w:numPr>
          <w:ilvl w:val="0"/>
          <w:numId w:val="2"/>
        </w:numPr>
        <w:spacing w:after="40" w:before="40"/>
      </w:pPr>
      <w:r>
        <w:rPr>
          <w:rFonts w:ascii="Arial" w:cs="Arial" w:eastAsia="Arial" w:hAnsi="Arial"/>
          <w:sz w:val="22"/>
          <w:szCs w:val="22"/>
        </w:rPr>
        <w:t xml:space="preserve">Locality-level performance analysis across 20 Patna areas</w:t>
      </w:r>
    </w:p>
    <w:p>
      <w:pPr>
        <w:pStyle w:val="ListParagraph"/>
        <w:numPr>
          <w:ilvl w:val="0"/>
          <w:numId w:val="2"/>
        </w:numPr>
        <w:spacing w:after="40" w:before="40"/>
      </w:pPr>
      <w:r>
        <w:rPr>
          <w:rFonts w:ascii="Arial" w:cs="Arial" w:eastAsia="Arial" w:hAnsi="Arial"/>
          <w:sz w:val="22"/>
          <w:szCs w:val="22"/>
        </w:rPr>
        <w:t xml:space="preserve">Observed signal-to-performance relationships (Pearson correlation)</w:t>
      </w:r>
    </w:p>
    <w:p>
      <w:pPr>
        <w:pStyle w:val="ListParagraph"/>
        <w:numPr>
          <w:ilvl w:val="0"/>
          <w:numId w:val="2"/>
        </w:numPr>
        <w:spacing w:after="40" w:before="40"/>
      </w:pPr>
      <w:r>
        <w:rPr>
          <w:rFonts w:ascii="Arial" w:cs="Arial" w:eastAsia="Arial" w:hAnsi="Arial"/>
          <w:sz w:val="22"/>
          <w:szCs w:val="22"/>
        </w:rPr>
        <w:t xml:space="preserve">Multi-instrument SDR RF measurement evaluation</w:t>
      </w:r>
    </w:p>
    <w:p>
      <w:pPr>
        <w:pStyle w:val="ListParagraph"/>
        <w:numPr>
          <w:ilvl w:val="0"/>
          <w:numId w:val="2"/>
        </w:numPr>
        <w:spacing w:after="40" w:before="40"/>
      </w:pPr>
      <w:r>
        <w:rPr>
          <w:rFonts w:ascii="Arial" w:cs="Arial" w:eastAsia="Arial" w:hAnsi="Arial"/>
          <w:sz w:val="22"/>
          <w:szCs w:val="22"/>
        </w:rPr>
        <w:t xml:space="preserve">Baseline characterization of network performance for planning purposes</w:t>
      </w:r>
    </w:p>
    <w:p>
      <w:pPr>
        <w:pStyle w:val="Heading2"/>
        <w:spacing w:after="80" w:before="240"/>
      </w:pPr>
      <w:r>
        <w:rPr>
          <w:rFonts w:ascii="Arial" w:cs="Arial" w:eastAsia="Arial" w:hAnsi="Arial"/>
          <w:b/>
          <w:bCs/>
          <w:color w:val="2E6DA4"/>
          <w:sz w:val="26"/>
          <w:szCs w:val="26"/>
        </w:rPr>
        <w:t xml:space="preserve">What This Dataset Cannot Support</w:t>
      </w:r>
    </w:p>
    <w:p>
      <w:pPr>
        <w:pStyle w:val="ListParagraph"/>
        <w:numPr>
          <w:ilvl w:val="0"/>
          <w:numId w:val="2"/>
        </w:numPr>
        <w:spacing w:after="40" w:before="40"/>
      </w:pPr>
      <w:r>
        <w:rPr>
          <w:rFonts w:ascii="Arial" w:cs="Arial" w:eastAsia="Arial" w:hAnsi="Arial"/>
          <w:sz w:val="22"/>
          <w:szCs w:val="22"/>
        </w:rPr>
        <w:t xml:space="preserve">Market share, revenue, or customer adoption claims</w:t>
      </w:r>
    </w:p>
    <w:p>
      <w:pPr>
        <w:pStyle w:val="ListParagraph"/>
        <w:numPr>
          <w:ilvl w:val="0"/>
          <w:numId w:val="2"/>
        </w:numPr>
        <w:spacing w:after="40" w:before="40"/>
      </w:pPr>
      <w:r>
        <w:rPr>
          <w:rFonts w:ascii="Arial" w:cs="Arial" w:eastAsia="Arial" w:hAnsi="Arial"/>
          <w:sz w:val="22"/>
          <w:szCs w:val="22"/>
        </w:rPr>
        <w:t xml:space="preserve">Global or national cellular network performance representation</w:t>
      </w:r>
    </w:p>
    <w:p>
      <w:pPr>
        <w:pStyle w:val="ListParagraph"/>
        <w:numPr>
          <w:ilvl w:val="0"/>
          <w:numId w:val="2"/>
        </w:numPr>
        <w:spacing w:after="40" w:before="40"/>
      </w:pPr>
      <w:r>
        <w:rPr>
          <w:rFonts w:ascii="Arial" w:cs="Arial" w:eastAsia="Arial" w:hAnsi="Arial"/>
          <w:sz w:val="22"/>
          <w:szCs w:val="22"/>
        </w:rPr>
        <w:t xml:space="preserve">Causal attribution between technology type and performance outcomes</w:t>
      </w:r>
    </w:p>
    <w:p>
      <w:pPr>
        <w:pStyle w:val="ListParagraph"/>
        <w:numPr>
          <w:ilvl w:val="0"/>
          <w:numId w:val="2"/>
        </w:numPr>
        <w:spacing w:after="40" w:before="40"/>
      </w:pPr>
      <w:r>
        <w:rPr>
          <w:rFonts w:ascii="Arial" w:cs="Arial" w:eastAsia="Arial" w:hAnsi="Arial"/>
          <w:sz w:val="22"/>
          <w:szCs w:val="22"/>
        </w:rPr>
        <w:t xml:space="preserve">Investment justification or ROI projections</w:t>
      </w:r>
    </w:p>
    <w:p>
      <w:pPr>
        <w:pStyle w:val="ListParagraph"/>
        <w:numPr>
          <w:ilvl w:val="0"/>
          <w:numId w:val="2"/>
        </w:numPr>
        <w:spacing w:after="40" w:before="40"/>
      </w:pPr>
      <w:r>
        <w:rPr>
          <w:rFonts w:ascii="Arial" w:cs="Arial" w:eastAsia="Arial" w:hAnsi="Arial"/>
          <w:sz w:val="22"/>
          <w:szCs w:val="22"/>
        </w:rPr>
        <w:t xml:space="preserve">Frequency-band identification (FR1/sub-6 GHz vs. mmWave)</w:t>
      </w:r>
    </w:p>
    <w:p>
      <w:pPr>
        <w:pStyle w:val="ListParagraph"/>
        <w:numPr>
          <w:ilvl w:val="0"/>
          <w:numId w:val="2"/>
        </w:numPr>
        <w:spacing w:after="40" w:before="40"/>
      </w:pPr>
      <w:r>
        <w:rPr>
          <w:rFonts w:ascii="Arial" w:cs="Arial" w:eastAsia="Arial" w:hAnsi="Arial"/>
          <w:sz w:val="22"/>
          <w:szCs w:val="22"/>
        </w:rPr>
        <w:t xml:space="preserve">Deployment architecture assessment (NSA vs. SA)</w:t>
      </w:r>
    </w:p>
    <w:p>
      <w:pPr>
        <w:pStyle w:val="ListParagraph"/>
        <w:numPr>
          <w:ilvl w:val="0"/>
          <w:numId w:val="2"/>
        </w:numPr>
        <w:spacing w:after="40" w:before="40"/>
      </w:pPr>
      <w:r>
        <w:rPr>
          <w:rFonts w:ascii="Arial" w:cs="Arial" w:eastAsia="Arial" w:hAnsi="Arial"/>
          <w:sz w:val="22"/>
          <w:szCs w:val="22"/>
        </w:rPr>
        <w:t xml:space="preserve">Subscriber load or network congestion analysis</w:t>
      </w:r>
    </w:p>
    <w:p>
      <w:pPr>
        <w:pStyle w:val="ListParagraph"/>
        <w:numPr>
          <w:ilvl w:val="0"/>
          <w:numId w:val="2"/>
        </w:numPr>
        <w:spacing w:after="40" w:before="40"/>
      </w:pPr>
      <w:r>
        <w:rPr>
          <w:rFonts w:ascii="Arial" w:cs="Arial" w:eastAsia="Arial" w:hAnsi="Arial"/>
          <w:sz w:val="22"/>
          <w:szCs w:val="22"/>
        </w:rPr>
        <w:t xml:space="preserve">Device capability assessment</w:t>
      </w:r>
    </w:p>
    <w:p>
      <w:pPr>
        <w:pStyle w:val="ListParagraph"/>
        <w:numPr>
          <w:ilvl w:val="0"/>
          <w:numId w:val="2"/>
        </w:numPr>
        <w:spacing w:after="40" w:before="40"/>
      </w:pPr>
      <w:r>
        <w:rPr>
          <w:rFonts w:ascii="Arial" w:cs="Arial" w:eastAsia="Arial" w:hAnsi="Arial"/>
          <w:sz w:val="22"/>
          <w:szCs w:val="22"/>
        </w:rPr>
        <w:t xml:space="preserve">Tower/cell-level infrastructure analysis</w:t>
      </w:r>
    </w:p>
    <w:p>
      <w:pPr>
        <w:pStyle w:val="Heading2"/>
        <w:spacing w:after="80" w:before="240"/>
      </w:pPr>
      <w:r>
        <w:rPr>
          <w:rFonts w:ascii="Arial" w:cs="Arial" w:eastAsia="Arial" w:hAnsi="Arial"/>
          <w:b/>
          <w:bCs/>
          <w:color w:val="2E6DA4"/>
          <w:sz w:val="26"/>
          <w:szCs w:val="26"/>
        </w:rPr>
        <w:t xml:space="preserve">Intelligence 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Dimension</w:t>
            </w:r>
          </w:p>
        </w:tc>
        <w:tc>
          <w:tcPr>
            <w:tcW w:type="dxa" w:w="390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Can Support</w:t>
            </w:r>
          </w:p>
        </w:tc>
        <w:tc>
          <w:tcPr>
            <w:tcW w:type="dxa" w:w="390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Cannot Support</w:t>
            </w:r>
          </w:p>
        </w:tc>
      </w:tr>
      <w:tr>
        <w:tc>
          <w:tcPr>
            <w:tcW w:type="dxa" w:w="156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Technology</w:t>
            </w:r>
          </w:p>
        </w:tc>
        <w:tc>
          <w:tcPr>
            <w:tcW w:type="dxa" w:w="39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3G/4G/LTE/5G performance comparison</w:t>
            </w:r>
          </w:p>
        </w:tc>
        <w:tc>
          <w:tcPr>
            <w:tcW w:type="dxa" w:w="3900"/>
            <w:tcBorders>
              <w:top w:val="single" w:color="CCCCCC" w:sz="1"/>
              <w:left w:val="single" w:color="CCCCCC" w:sz="1"/>
              <w:bottom w:val="single" w:color="CCCCCC" w:sz="1"/>
              <w:right w:val="single" w:color="CCCCCC" w:sz="1"/>
            </w:tcBorders>
            <w:shd w:fill="FAFAFA" w:val="clear"/>
          </w:tcPr>
          <w:p>
            <w:pPr>
              <w:spacing w:after="60" w:before="60"/>
              <w:jc w:val="left"/>
            </w:pPr>
            <w:r>
              <w:rPr>
                <w:b w:val="false"/>
                <w:bCs w:val="false"/>
                <w:color w:val="000000"/>
                <w:sz w:val="20"/>
                <w:szCs w:val="20"/>
              </w:rPr>
              <w:t xml:space="preserve">Technology adoption rates, revenue by technology</w:t>
            </w:r>
          </w:p>
        </w:tc>
      </w:tr>
      <w:tr>
        <w:tc>
          <w:tcPr>
            <w:tcW w:type="dxa" w:w="156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Geography</w:t>
            </w:r>
          </w:p>
        </w:tc>
        <w:tc>
          <w:tcPr>
            <w:tcW w:type="dxa" w:w="390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20 Patna locality analysis</w:t>
            </w:r>
          </w:p>
        </w:tc>
        <w:tc>
          <w:tcPr>
            <w:tcW w:type="dxa" w:w="390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National, regional, or global generalization</w:t>
            </w:r>
          </w:p>
        </w:tc>
      </w:tr>
      <w:tr>
        <w:tc>
          <w:tcPr>
            <w:tcW w:type="dxa" w:w="156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Time</w:t>
            </w:r>
          </w:p>
        </w:tc>
        <w:tc>
          <w:tcPr>
            <w:tcW w:type="dxa" w:w="39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37-day performance trends</w:t>
            </w:r>
          </w:p>
        </w:tc>
        <w:tc>
          <w:tcPr>
            <w:tcW w:type="dxa" w:w="3900"/>
            <w:tcBorders>
              <w:top w:val="single" w:color="CCCCCC" w:sz="1"/>
              <w:left w:val="single" w:color="CCCCCC" w:sz="1"/>
              <w:bottom w:val="single" w:color="CCCCCC" w:sz="1"/>
              <w:right w:val="single" w:color="CCCCCC" w:sz="1"/>
            </w:tcBorders>
            <w:shd w:fill="FAFAFA" w:val="clear"/>
          </w:tcPr>
          <w:p>
            <w:pPr>
              <w:spacing w:after="60" w:before="60"/>
              <w:jc w:val="left"/>
            </w:pPr>
            <w:r>
              <w:rPr>
                <w:b w:val="false"/>
                <w:bCs w:val="false"/>
                <w:color w:val="000000"/>
                <w:sz w:val="20"/>
                <w:szCs w:val="20"/>
              </w:rPr>
              <w:t xml:space="preserve">Seasonal patterns, deployment maturation</w:t>
            </w:r>
          </w:p>
        </w:tc>
      </w:tr>
      <w:tr>
        <w:tc>
          <w:tcPr>
            <w:tcW w:type="dxa" w:w="156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Signal</w:t>
            </w:r>
          </w:p>
        </w:tc>
        <w:tc>
          <w:tcPr>
            <w:tcW w:type="dxa" w:w="390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Signal strength-performance correlation</w:t>
            </w:r>
          </w:p>
        </w:tc>
        <w:tc>
          <w:tcPr>
            <w:tcW w:type="dxa" w:w="390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Coverage maps, interference analysis</w:t>
            </w:r>
          </w:p>
        </w:tc>
      </w:tr>
      <w:tr>
        <w:tc>
          <w:tcPr>
            <w:tcW w:type="dxa" w:w="156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Market</w:t>
            </w:r>
          </w:p>
        </w:tc>
        <w:tc>
          <w:tcPr>
            <w:tcW w:type="dxa" w:w="39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Investigation area identification</w:t>
            </w:r>
          </w:p>
        </w:tc>
        <w:tc>
          <w:tcPr>
            <w:tcW w:type="dxa" w:w="3900"/>
            <w:tcBorders>
              <w:top w:val="single" w:color="CCCCCC" w:sz="1"/>
              <w:left w:val="single" w:color="CCCCCC" w:sz="1"/>
              <w:bottom w:val="single" w:color="CCCCCC" w:sz="1"/>
              <w:right w:val="single" w:color="CCCCCC" w:sz="1"/>
            </w:tcBorders>
            <w:shd w:fill="FAFAFA" w:val="clear"/>
          </w:tcPr>
          <w:p>
            <w:pPr>
              <w:spacing w:after="60" w:before="60"/>
              <w:jc w:val="left"/>
            </w:pPr>
            <w:r>
              <w:rPr>
                <w:b w:val="false"/>
                <w:bCs w:val="false"/>
                <w:color w:val="000000"/>
                <w:sz w:val="20"/>
                <w:szCs w:val="20"/>
              </w:rPr>
              <w:t xml:space="preserve">Market sizing, competitive analysis, ROI</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3. Dataset and Evidence Scope</w:t>
      </w:r>
    </w:p>
    <w:p>
      <w:pPr>
        <w:pStyle w:val="Heading2"/>
        <w:spacing w:after="80" w:before="240"/>
      </w:pPr>
      <w:r>
        <w:rPr>
          <w:rFonts w:ascii="Arial" w:cs="Arial" w:eastAsia="Arial" w:hAnsi="Arial"/>
          <w:b/>
          <w:bCs/>
          <w:color w:val="2E6DA4"/>
          <w:sz w:val="26"/>
          <w:szCs w:val="26"/>
        </w:rPr>
        <w:t xml:space="preserve">Dataset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Dataset Name</w:t>
            </w:r>
          </w:p>
        </w:tc>
        <w:tc>
          <w:tcPr>
            <w:tcW w:type="dxa" w:w="62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5G_Cellular_Network_Performance.csv</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Total Records</w:t>
            </w:r>
          </w:p>
        </w:tc>
        <w:tc>
          <w:tcPr>
            <w:tcW w:type="dxa" w:w="624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16,829</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Fields</w:t>
            </w:r>
          </w:p>
        </w:tc>
        <w:tc>
          <w:tcPr>
            <w:tcW w:type="dxa" w:w="62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12</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Localities</w:t>
            </w:r>
          </w:p>
        </w:tc>
        <w:tc>
          <w:tcPr>
            <w:tcW w:type="dxa" w:w="624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20 named areas within Patna, India</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Temporal Coverage</w:t>
            </w:r>
          </w:p>
        </w:tc>
        <w:tc>
          <w:tcPr>
            <w:tcW w:type="dxa" w:w="62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May 5, 2023 – June 10, 2023 (~37 days)</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Geographic Scope</w:t>
            </w:r>
          </w:p>
        </w:tc>
        <w:tc>
          <w:tcPr>
            <w:tcW w:type="dxa" w:w="624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Patna, India (single metropolitan area)</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Network Types</w:t>
            </w:r>
          </w:p>
        </w:tc>
        <w:tc>
          <w:tcPr>
            <w:tcW w:type="dxa" w:w="62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3G, 4G, LTE, 5G</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Latitude Range</w:t>
            </w:r>
          </w:p>
        </w:tc>
        <w:tc>
          <w:tcPr>
            <w:tcW w:type="dxa" w:w="624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25.41 – 25.77</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Longitude Range</w:t>
            </w:r>
          </w:p>
        </w:tc>
        <w:tc>
          <w:tcPr>
            <w:tcW w:type="dxa" w:w="62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84.96 – 85.32</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Geographic and Temporal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FFF3E6" w:val="clear"/>
          </w:tcPr>
          <w:p>
            <w:pPr>
              <w:spacing w:after="80" w:before="80"/>
            </w:pPr>
            <w:r>
              <w:rPr>
                <w:i/>
                <w:iCs/>
                <w:sz w:val="19"/>
                <w:szCs w:val="19"/>
              </w:rPr>
              <w:t xml:space="preserve">[LIMITATION] The dataset represents a single metropolitan area (Patna, India) over a 37-day window during early 5G deployment in India (May–June 2023). Findings cannot be generalized to other cities, countries, or time periods. India's 5G landscape has evolved substantially since mid-2023.</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Evidence"/>
      </w:pPr>
      <w:r>
        <w:rPr>
          <w:i/>
          <w:iCs/>
          <w:sz w:val="19"/>
          <w:szCs w:val="19"/>
        </w:rPr>
        <w:t xml:space="preserve">Evidence Reference: Quick_Screenshots/14_Research_Source_Panel.png — Research source panel and dataset identity verification</w:t>
      </w:r>
    </w:p>
    <w:p>
      <w:pPr>
        <w:pStyle w:val="Heading1"/>
        <w:spacing w:after="120" w:before="360"/>
      </w:pPr>
      <w:r>
        <w:rPr>
          <w:rFonts w:ascii="Arial" w:cs="Arial" w:eastAsia="Arial" w:hAnsi="Arial"/>
          <w:b/>
          <w:bCs/>
          <w:color w:val="1F3864"/>
          <w:sz w:val="32"/>
          <w:szCs w:val="32"/>
        </w:rPr>
        <w:t xml:space="preserve">4. Network Technology Performance Comparison</w:t>
      </w:r>
    </w:p>
    <w:p>
      <w:pPr>
        <w:spacing w:after="120" w:before="0" w:line="276"/>
        <w:jc w:val="left"/>
      </w:pPr>
      <w:r>
        <w:rPr>
          <w:rFonts w:ascii="Arial" w:cs="Arial" w:eastAsia="Arial" w:hAnsi="Arial"/>
          <w:b w:val="false"/>
          <w:bCs w:val="false"/>
          <w:i w:val="false"/>
          <w:iCs w:val="false"/>
          <w:color w:val="000000"/>
          <w:sz w:val="22"/>
          <w:szCs w:val="22"/>
        </w:rPr>
        <w:t xml:space="preserve">The dataset reveals a clear and substantial performance hierarchy across the four network technologies. The following table presents the key metrics computed from all 16,829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360"/>
            <w:gridSpan w:val="7"/>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[VERIFIED DATASET FACT] Network Technology Performance — Full Comparison:</w:t>
            </w:r>
          </w:p>
        </w:tc>
      </w:tr>
      <w:tr>
        <w:trPr>
          <w:tblHeader/>
        </w:trPr>
        <w:tc>
          <w:tcPr>
            <w:tcW w:type="dxa" w:w="10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Network</w:t>
            </w:r>
          </w:p>
        </w:tc>
        <w:tc>
          <w:tcPr>
            <w:tcW w:type="dxa" w:w="10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Records</w:t>
            </w:r>
          </w:p>
        </w:tc>
        <w:tc>
          <w:tcPr>
            <w:tcW w:type="dxa" w:w="15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Mean Throughput (Mbps)</w:t>
            </w:r>
          </w:p>
        </w:tc>
        <w:tc>
          <w:tcPr>
            <w:tcW w:type="dxa" w:w="15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Mean Latency (ms)</w:t>
            </w:r>
          </w:p>
        </w:tc>
        <w:tc>
          <w:tcPr>
            <w:tcW w:type="dxa" w:w="15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Throughput Range</w:t>
            </w:r>
          </w:p>
        </w:tc>
        <w:tc>
          <w:tcPr>
            <w:tcW w:type="dxa" w:w="15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Latency Range</w:t>
            </w:r>
          </w:p>
        </w:tc>
        <w:tc>
          <w:tcPr>
            <w:tcW w:type="dxa" w:w="10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Throughput SD</w:t>
            </w:r>
          </w:p>
        </w:tc>
      </w:tr>
      <w:tr>
        <w:tc>
          <w:tcPr>
            <w:tcW w:type="dxa" w:w="1040"/>
            <w:tcBorders>
              <w:top w:val="single" w:color="CCCCCC" w:sz="1"/>
              <w:left w:val="single" w:color="CCCCCC" w:sz="1"/>
              <w:bottom w:val="single" w:color="CCCCCC" w:sz="1"/>
              <w:right w:val="single" w:color="CCCCCC" w:sz="1"/>
            </w:tcBorders>
            <w:shd w:fill="F0F7FF" w:val="clear"/>
          </w:tcPr>
          <w:p>
            <w:pPr>
              <w:spacing w:after="60" w:before="60"/>
              <w:jc w:val="left"/>
            </w:pPr>
            <w:r>
              <w:rPr>
                <w:b/>
                <w:bCs/>
                <w:color w:val="000000"/>
                <w:sz w:val="20"/>
                <w:szCs w:val="20"/>
              </w:rPr>
              <w:t xml:space="preserve">5G</w:t>
            </w:r>
          </w:p>
        </w:tc>
        <w:tc>
          <w:tcPr>
            <w:tcW w:type="dxa" w:w="104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4,178</w:t>
            </w:r>
          </w:p>
        </w:tc>
        <w:tc>
          <w:tcPr>
            <w:tcW w:type="dxa" w:w="156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54.58</w:t>
            </w:r>
          </w:p>
        </w:tc>
        <w:tc>
          <w:tcPr>
            <w:tcW w:type="dxa" w:w="156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29.86</w:t>
            </w:r>
          </w:p>
        </w:tc>
        <w:tc>
          <w:tcPr>
            <w:tcW w:type="dxa" w:w="156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10.02–99.99</w:t>
            </w:r>
          </w:p>
        </w:tc>
        <w:tc>
          <w:tcPr>
            <w:tcW w:type="dxa" w:w="156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10.02–49.98</w:t>
            </w:r>
          </w:p>
        </w:tc>
        <w:tc>
          <w:tcPr>
            <w:tcW w:type="dxa" w:w="104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26.09</w:t>
            </w:r>
          </w:p>
        </w:tc>
      </w:tr>
      <w:tr>
        <w:tc>
          <w:tcPr>
            <w:tcW w:type="dxa" w:w="10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4G</w:t>
            </w:r>
          </w:p>
        </w:tc>
        <w:tc>
          <w:tcPr>
            <w:tcW w:type="dxa" w:w="10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4,219</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6.50</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74.85</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3.00–10.00</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50.01–99.99</w:t>
            </w:r>
          </w:p>
        </w:tc>
        <w:tc>
          <w:tcPr>
            <w:tcW w:type="dxa" w:w="10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2.03</w:t>
            </w:r>
          </w:p>
        </w:tc>
      </w:tr>
      <w:tr>
        <w:tc>
          <w:tcPr>
            <w:tcW w:type="dxa" w:w="10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LTE</w:t>
            </w:r>
          </w:p>
        </w:tc>
        <w:tc>
          <w:tcPr>
            <w:tcW w:type="dxa" w:w="104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4,224</w:t>
            </w:r>
          </w:p>
        </w:tc>
        <w:tc>
          <w:tcPr>
            <w:tcW w:type="dxa" w:w="156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1.99</w:t>
            </w:r>
          </w:p>
        </w:tc>
        <w:tc>
          <w:tcPr>
            <w:tcW w:type="dxa" w:w="156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150.50</w:t>
            </w:r>
          </w:p>
        </w:tc>
        <w:tc>
          <w:tcPr>
            <w:tcW w:type="dxa" w:w="156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1.00–3.00</w:t>
            </w:r>
          </w:p>
        </w:tc>
        <w:tc>
          <w:tcPr>
            <w:tcW w:type="dxa" w:w="156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100.03–199.99</w:t>
            </w:r>
          </w:p>
        </w:tc>
        <w:tc>
          <w:tcPr>
            <w:tcW w:type="dxa" w:w="104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0.58</w:t>
            </w:r>
          </w:p>
        </w:tc>
      </w:tr>
      <w:tr>
        <w:tc>
          <w:tcPr>
            <w:tcW w:type="dxa" w:w="10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3G</w:t>
            </w:r>
          </w:p>
        </w:tc>
        <w:tc>
          <w:tcPr>
            <w:tcW w:type="dxa" w:w="10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4,208</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2.01</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149.41</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1.00–3.00</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100.00–199.97</w:t>
            </w:r>
          </w:p>
        </w:tc>
        <w:tc>
          <w:tcPr>
            <w:tcW w:type="dxa" w:w="10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0.58</w:t>
            </w:r>
          </w:p>
        </w:tc>
      </w:tr>
    </w:tbl>
    <w:p>
      <w:pPr>
        <w:spacing w:after="10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Derived Performance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Comparison</w:t>
            </w:r>
          </w:p>
        </w:tc>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Throughput Multiplier</w:t>
            </w:r>
          </w:p>
        </w:tc>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Latency Reduction</w:t>
            </w:r>
          </w:p>
        </w:tc>
      </w:tr>
      <w:tr>
        <w:tc>
          <w:tcPr>
            <w:tcW w:type="dxa" w:w="3120"/>
            <w:tcBorders>
              <w:top w:val="single" w:color="CCCCCC" w:sz="1"/>
              <w:left w:val="single" w:color="CCCCCC" w:sz="1"/>
              <w:bottom w:val="single" w:color="CCCCCC" w:sz="1"/>
              <w:right w:val="single" w:color="CCCCCC" w:sz="1"/>
            </w:tcBorders>
            <w:shd w:fill="F0F7FF" w:val="clear"/>
          </w:tcPr>
          <w:p>
            <w:pPr>
              <w:spacing w:after="60" w:before="60"/>
              <w:jc w:val="left"/>
            </w:pPr>
            <w:r>
              <w:rPr>
                <w:b/>
                <w:bCs/>
                <w:color w:val="000000"/>
                <w:sz w:val="20"/>
                <w:szCs w:val="20"/>
              </w:rPr>
              <w:t xml:space="preserve">5G vs. 4G</w:t>
            </w:r>
          </w:p>
        </w:tc>
        <w:tc>
          <w:tcPr>
            <w:tcW w:type="dxa" w:w="3120"/>
            <w:tcBorders>
              <w:top w:val="single" w:color="CCCCCC" w:sz="1"/>
              <w:left w:val="single" w:color="CCCCCC" w:sz="1"/>
              <w:bottom w:val="single" w:color="CCCCCC" w:sz="1"/>
              <w:right w:val="single" w:color="CCCCCC" w:sz="1"/>
            </w:tcBorders>
            <w:shd w:fill="F0F7FF" w:val="clear"/>
          </w:tcPr>
          <w:p>
            <w:pPr>
              <w:spacing w:after="60" w:before="60"/>
              <w:jc w:val="left"/>
            </w:pPr>
            <w:r>
              <w:rPr>
                <w:b w:val="false"/>
                <w:bCs w:val="false"/>
                <w:color w:val="000000"/>
                <w:sz w:val="20"/>
                <w:szCs w:val="20"/>
              </w:rPr>
              <w:t xml:space="preserve">8.4× (54.58 ÷ 6.50)</w:t>
            </w:r>
          </w:p>
        </w:tc>
        <w:tc>
          <w:tcPr>
            <w:tcW w:type="dxa" w:w="3120"/>
            <w:tcBorders>
              <w:top w:val="single" w:color="CCCCCC" w:sz="1"/>
              <w:left w:val="single" w:color="CCCCCC" w:sz="1"/>
              <w:bottom w:val="single" w:color="CCCCCC" w:sz="1"/>
              <w:right w:val="single" w:color="CCCCCC" w:sz="1"/>
            </w:tcBorders>
            <w:shd w:fill="F0F7FF" w:val="clear"/>
          </w:tcPr>
          <w:p>
            <w:pPr>
              <w:spacing w:after="60" w:before="60"/>
              <w:jc w:val="left"/>
            </w:pPr>
            <w:r>
              <w:rPr>
                <w:b w:val="false"/>
                <w:bCs w:val="false"/>
                <w:color w:val="000000"/>
                <w:sz w:val="20"/>
                <w:szCs w:val="20"/>
              </w:rPr>
              <w:t xml:space="preserve">~60% lower (29.86 vs. 74.85 ms)</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5G vs. LTE</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~27× (54.58 ÷ 1.99)</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~80% lower (29.86 vs. 150.50 ms)</w:t>
            </w:r>
          </w:p>
        </w:tc>
      </w:tr>
      <w:tr>
        <w:tc>
          <w:tcPr>
            <w:tcW w:type="dxa" w:w="3120"/>
            <w:tcBorders>
              <w:top w:val="single" w:color="CCCCCC" w:sz="1"/>
              <w:left w:val="single" w:color="CCCCCC" w:sz="1"/>
              <w:bottom w:val="single" w:color="CCCCCC" w:sz="1"/>
              <w:right w:val="single" w:color="CCCCCC" w:sz="1"/>
            </w:tcBorders>
            <w:shd w:fill="F9F9F9" w:val="clear"/>
          </w:tcPr>
          <w:p>
            <w:pPr>
              <w:spacing w:after="60" w:before="60"/>
              <w:jc w:val="left"/>
            </w:pPr>
            <w:r>
              <w:rPr>
                <w:b/>
                <w:bCs/>
                <w:color w:val="000000"/>
                <w:sz w:val="20"/>
                <w:szCs w:val="20"/>
              </w:rPr>
              <w:t xml:space="preserve">5G vs. 3G</w:t>
            </w:r>
          </w:p>
        </w:tc>
        <w:tc>
          <w:tcPr>
            <w:tcW w:type="dxa" w:w="312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~27× (54.58 ÷ 2.01)</w:t>
            </w:r>
          </w:p>
        </w:tc>
        <w:tc>
          <w:tcPr>
            <w:tcW w:type="dxa" w:w="312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~80% lower (29.86 vs. 149.41 ms)</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4G vs. 3G/LTE</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~3.2× (6.50 ÷ 2.01)</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~50% lower (74.85 vs. ~150 ms)</w:t>
            </w:r>
          </w:p>
        </w:tc>
      </w:tr>
    </w:tbl>
    <w:p>
      <w:pPr>
        <w:spacing w:after="10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4E8" w:val="clear"/>
          </w:tcPr>
          <w:p>
            <w:pPr>
              <w:spacing w:after="80" w:before="80"/>
            </w:pPr>
            <w:r>
              <w:rPr>
                <w:i/>
                <w:iCs/>
                <w:sz w:val="19"/>
                <w:szCs w:val="19"/>
              </w:rPr>
              <w:t xml:space="preserve">[HYPOTHESIS FOR FURTHER RESEARCH] The observed throughput is consistent with conditions that could occur in sub-6 GHz deployments, but frequency-band metadata is unavailable and this cannot be confirmed.</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spacing w:after="120" w:before="0" w:line="276"/>
        <w:jc w:val="left"/>
      </w:pPr>
      <w:r>
        <w:rPr>
          <w:rFonts w:ascii="Arial" w:cs="Arial" w:eastAsia="Arial" w:hAnsi="Arial"/>
          <w:b w:val="false"/>
          <w:bCs w:val="false"/>
          <w:i w:val="false"/>
          <w:iCs w:val="false"/>
          <w:color w:val="000000"/>
          <w:sz w:val="21"/>
          <w:szCs w:val="21"/>
        </w:rPr>
        <w:t>Note on LTE–3G Convergence: The near-identical observed performance of 3G and LTE records is an anomaly. LTE (3GPP Release 10) specifications support substantially higher peak rates than 3G. The Quick Suite statistical comparison in Quick_Screenshots/32C_Agent_Chat.png reports no statistically significant difference in the observed throughput (Welch p = 0.354; Mann–Whitney p = 0.353) or latency (Welch p = 0.085; Mann–Whitney p = 0.085) in this dataset, with negligible effect sizes. [HYPOTHESIS FOR FURTHER RESEARCH] This convergence may reflect constrained measurement conditions, limited bandwidth allocation, or characteristics of the measurement methodology. It should not be interpreted as evidence that LTE offers no improvement over 3G in general.</w:t>
      </w:r>
    </w:p>
    <w:p>
      <w:pPr>
        <w:pStyle w:val="Evidence"/>
      </w:pPr>
      <w:r>
        <w:rPr>
          <w:i/>
          <w:iCs/>
          <w:sz w:val="19"/>
          <w:szCs w:val="19"/>
        </w:rPr>
        <w:t xml:space="preserve">Evidence Reference: Quick_Screenshots/15A_Network_Type_Record_Verification.png, Quick_Screenshots/15B_Network_Type_Performance_Verification.png, Quick_Screenshots/16_Network_Locality_Crosstab.png, Quick_Screenshots/18A_Network_Performance_Integrity.png – 18D_Network_Performance_Integrity.png, Quick_Screenshots/19A_Independent_Performance_Verification.png – 19C_Independent_Performance_Verification.png, Quick_Screenshots/20A_Final_Performance_Reconciliation.png – 20C_Final_Performance_Reconciliation.png</w:t>
      </w:r>
    </w:p>
    <w:p>
      <w:pPr>
        <w:pStyle w:val="Heading1"/>
        <w:spacing w:after="120" w:before="360"/>
      </w:pPr>
      <w:r>
        <w:rPr>
          <w:rFonts w:ascii="Arial" w:cs="Arial" w:eastAsia="Arial" w:hAnsi="Arial"/>
          <w:b/>
          <w:bCs/>
          <w:color w:val="1F3864"/>
          <w:sz w:val="32"/>
          <w:szCs w:val="32"/>
        </w:rPr>
        <w:t xml:space="preserve">5. Throughput Analysis</w:t>
      </w:r>
    </w:p>
    <w:p>
      <w:pPr>
        <w:pStyle w:val="Heading2"/>
        <w:spacing w:after="80" w:before="240"/>
      </w:pPr>
      <w:r>
        <w:rPr>
          <w:rFonts w:ascii="Arial" w:cs="Arial" w:eastAsia="Arial" w:hAnsi="Arial"/>
          <w:b/>
          <w:bCs/>
          <w:color w:val="2E6DA4"/>
          <w:sz w:val="26"/>
          <w:szCs w:val="26"/>
        </w:rPr>
        <w:t xml:space="preserve">5G Throughput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0FA" w:val="clear"/>
          </w:tcPr>
          <w:p>
            <w:pPr>
              <w:spacing w:after="80" w:before="80"/>
            </w:pPr>
            <w:r>
              <w:t>[VERIFIED DATASET FACT] 5G mean throughput of 54.58 Mbps represents an 8.4× advantage over 4G (6.50 Mbps) and a ~27× advantage over 3G and LTE (~2 Mbps). The 5G throughput range of 10.02–99.99 Mbps with a standard deviation of 26.09 Mbps indicates substantial variability within the observed 5G measurements.</w:t>
              <w:br/>
              <w:t>[HYPOTHESIS FOR FURTHER RESEARCH] External research suggests that factors such as distance from the serving base station, line-of-sight conditions, and spectrum characteristics can influence cellular performance. These factors are not measured in the present dataset and therefore cannot be tested here.</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Application-Readiness Assessment</w:t>
      </w:r>
    </w:p>
    <w:p>
      <w:pPr>
        <w:spacing w:after="120" w:before="0" w:line="276"/>
        <w:jc w:val="left"/>
      </w:pPr>
      <w:r>
        <w:rPr>
          <w:rFonts w:ascii="Arial" w:cs="Arial" w:eastAsia="Arial" w:hAnsi="Arial"/>
          <w:b w:val="false"/>
          <w:bCs w:val="false"/>
          <w:i w:val="false"/>
          <w:iCs w:val="false"/>
          <w:color w:val="000000"/>
          <w:sz w:val="22"/>
          <w:szCs w:val="22"/>
        </w:rPr>
        <w:t xml:space="preserve">The following assessment maps the observed throughput levels to application categories. This assessment is based on [EXTERNAL RESEARCH SIGNAL] industry-standard bandwidth requirements and does NOT constitute a dataset-proven suitability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70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Application Category</w:t>
            </w:r>
          </w:p>
        </w:tc>
        <w:tc>
          <w:tcPr>
            <w:tcW w:type="dxa" w:w="16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Typical Req.</w:t>
            </w:r>
          </w:p>
        </w:tc>
        <w:tc>
          <w:tcPr>
            <w:tcW w:type="dxa" w:w="198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5G at 54.58 Mbps</w:t>
            </w:r>
          </w:p>
        </w:tc>
        <w:tc>
          <w:tcPr>
            <w:tcW w:type="dxa" w:w="30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HD Video Streaming</w:t>
            </w:r>
          </w:p>
        </w:tc>
        <w:tc>
          <w:tcPr>
            <w:tcW w:type="dxa" w:w="16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5–25 Mbps</w:t>
            </w:r>
          </w:p>
        </w:tc>
        <w:tc>
          <w:tcPr>
            <w:tcW w:type="dxa" w:w="1980"/>
            <w:tcBorders>
              <w:top w:val="single" w:color="CCCCCC" w:sz="1"/>
              <w:left w:val="single" w:color="CCCCCC" w:sz="1"/>
              <w:bottom w:val="single" w:color="CCCCCC" w:sz="1"/>
              <w:right w:val="single" w:color="CCCCCC" w:sz="1"/>
            </w:tcBorders>
            <w:shd w:fill="E8F5E8" w:val="clear"/>
          </w:tcPr>
          <w:p>
            <w:pPr>
              <w:spacing w:after="60" w:before="60"/>
              <w:jc w:val="left"/>
            </w:pPr>
            <w:r>
              <w:rPr>
                <w:b w:val="false"/>
                <w:bCs w:val="false"/>
                <w:color w:val="000000"/>
                <w:sz w:val="20"/>
                <w:szCs w:val="20"/>
              </w:rPr>
              <w:t xml:space="preserve">✅ Sufficient</w:t>
            </w:r>
          </w:p>
        </w:tc>
        <w:tc>
          <w:tcPr>
            <w:tcW w:type="dxa" w:w="30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[EXTERNAL RESEARCH SIGNAL] Standard HD typically 5–25 Mbps</w:t>
            </w:r>
          </w:p>
        </w:tc>
      </w:tr>
      <w:tr>
        <w:tc>
          <w:tcPr>
            <w:tcW w:type="dxa" w:w="2700"/>
            <w:tcBorders>
              <w:top w:val="single" w:color="CCCCCC" w:sz="1"/>
              <w:left w:val="single" w:color="CCCCCC" w:sz="1"/>
              <w:bottom w:val="single" w:color="CCCCCC" w:sz="1"/>
              <w:right w:val="single" w:color="CCCCCC" w:sz="1"/>
            </w:tcBorders>
            <w:shd w:fill="F5F8FC" w:val="clear"/>
          </w:tcPr>
          <w:p>
            <w:pPr>
              <w:spacing w:after="60" w:before="60"/>
              <w:jc w:val="left"/>
            </w:pPr>
            <w:r>
              <w:rPr>
                <w:b/>
                <w:bCs/>
                <w:color w:val="000000"/>
                <w:sz w:val="20"/>
                <w:szCs w:val="20"/>
              </w:rPr>
              <w:t xml:space="preserve">Enterprise Cloud Apps</w:t>
            </w:r>
          </w:p>
        </w:tc>
        <w:tc>
          <w:tcPr>
            <w:tcW w:type="dxa" w:w="162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10–50 Mbps</w:t>
            </w:r>
          </w:p>
        </w:tc>
        <w:tc>
          <w:tcPr>
            <w:tcW w:type="dxa" w:w="1980"/>
            <w:tcBorders>
              <w:top w:val="single" w:color="CCCCCC" w:sz="1"/>
              <w:left w:val="single" w:color="CCCCCC" w:sz="1"/>
              <w:bottom w:val="single" w:color="CCCCCC" w:sz="1"/>
              <w:right w:val="single" w:color="CCCCCC" w:sz="1"/>
            </w:tcBorders>
            <w:shd w:fill="E8F5E8" w:val="clear"/>
          </w:tcPr>
          <w:p>
            <w:pPr>
              <w:spacing w:after="60" w:before="60"/>
              <w:jc w:val="left"/>
            </w:pPr>
            <w:r>
              <w:rPr>
                <w:b w:val="false"/>
                <w:bCs w:val="false"/>
                <w:color w:val="000000"/>
                <w:sz w:val="20"/>
                <w:szCs w:val="20"/>
              </w:rPr>
              <w:t xml:space="preserve">✅ Sufficient</w:t>
            </w:r>
          </w:p>
        </w:tc>
        <w:tc>
          <w:tcPr>
            <w:tcW w:type="dxa" w:w="306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[EXTERNAL RESEARCH SIGNAL] Most enterprise productivity apps</w:t>
            </w:r>
          </w:p>
        </w:tc>
      </w:tr>
      <w:tr>
        <w:tc>
          <w:tcPr>
            <w:tcW w:type="dxa" w:w="270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High-Density Streaming (4K/8K)</w:t>
            </w:r>
          </w:p>
        </w:tc>
        <w:tc>
          <w:tcPr>
            <w:tcW w:type="dxa" w:w="16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100–200+ Mbps</w:t>
            </w:r>
          </w:p>
        </w:tc>
        <w:tc>
          <w:tcPr>
            <w:tcW w:type="dxa" w:w="1980"/>
            <w:tcBorders>
              <w:top w:val="single" w:color="CCCCCC" w:sz="1"/>
              <w:left w:val="single" w:color="CCCCCC" w:sz="1"/>
              <w:bottom w:val="single" w:color="CCCCCC" w:sz="1"/>
              <w:right w:val="single" w:color="CCCCCC" w:sz="1"/>
            </w:tcBorders>
            <w:shd w:fill="FFF8E1" w:val="clear"/>
          </w:tcPr>
          <w:p>
            <w:pPr>
              <w:spacing w:after="60" w:before="60"/>
              <w:jc w:val="left"/>
            </w:pPr>
            <w:r>
              <w:rPr>
                <w:b w:val="false"/>
                <w:bCs w:val="false"/>
                <w:color w:val="000000"/>
                <w:sz w:val="20"/>
                <w:szCs w:val="20"/>
              </w:rPr>
              <w:t xml:space="preserve">⚠️ Below threshold</w:t>
            </w:r>
          </w:p>
        </w:tc>
        <w:tc>
          <w:tcPr>
            <w:tcW w:type="dxa" w:w="30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54.58 Mbps mean below typical requirements</w:t>
            </w:r>
          </w:p>
        </w:tc>
      </w:tr>
      <w:tr>
        <w:tc>
          <w:tcPr>
            <w:tcW w:type="dxa" w:w="2700"/>
            <w:tcBorders>
              <w:top w:val="single" w:color="CCCCCC" w:sz="1"/>
              <w:left w:val="single" w:color="CCCCCC" w:sz="1"/>
              <w:bottom w:val="single" w:color="CCCCCC" w:sz="1"/>
              <w:right w:val="single" w:color="CCCCCC" w:sz="1"/>
            </w:tcBorders>
            <w:shd w:fill="F5F8FC" w:val="clear"/>
          </w:tcPr>
          <w:p>
            <w:pPr>
              <w:spacing w:after="60" w:before="60"/>
              <w:jc w:val="left"/>
            </w:pPr>
            <w:r>
              <w:rPr>
                <w:b/>
                <w:bCs/>
                <w:color w:val="000000"/>
                <w:sz w:val="20"/>
                <w:szCs w:val="20"/>
              </w:rPr>
              <w:t xml:space="preserve">Bandwidth-Intensive Industrial IoT</w:t>
            </w:r>
          </w:p>
        </w:tc>
        <w:tc>
          <w:tcPr>
            <w:tcW w:type="dxa" w:w="162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Varies widely</w:t>
            </w:r>
          </w:p>
        </w:tc>
        <w:tc>
          <w:tcPr>
            <w:tcW w:type="dxa" w:w="1980"/>
            <w:tcBorders>
              <w:top w:val="single" w:color="CCCCCC" w:sz="1"/>
              <w:left w:val="single" w:color="CCCCCC" w:sz="1"/>
              <w:bottom w:val="single" w:color="CCCCCC" w:sz="1"/>
              <w:right w:val="single" w:color="CCCCCC" w:sz="1"/>
            </w:tcBorders>
            <w:shd w:fill="FFF8E1" w:val="clear"/>
          </w:tcPr>
          <w:p>
            <w:pPr>
              <w:spacing w:after="60" w:before="60"/>
              <w:jc w:val="left"/>
            </w:pPr>
            <w:r>
              <w:rPr>
                <w:b w:val="false"/>
                <w:bCs w:val="false"/>
                <w:color w:val="000000"/>
                <w:sz w:val="20"/>
                <w:szCs w:val="20"/>
              </w:rPr>
              <w:t xml:space="preserve">❓ Investigate</w:t>
            </w:r>
          </w:p>
        </w:tc>
        <w:tc>
          <w:tcPr>
            <w:tcW w:type="dxa" w:w="306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Depends on specific application requirements</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Evidence"/>
      </w:pPr>
      <w:r>
        <w:rPr>
          <w:i/>
          <w:iCs/>
          <w:sz w:val="19"/>
          <w:szCs w:val="19"/>
        </w:rPr>
        <w:t xml:space="preserve">Evidence Reference: Quick_Screenshots/06_Throughput_By_Network.png, Quick_Screenshots/08_Throughput_Distribution.png, Quick_Screenshots/15A_Network_Type_Record_Verification.png, Quick_Screenshots/15B_Network_Type_Performance_Verification.png, Quick_Screenshots/16_Network_Locality_Crosstab.png</w:t>
      </w:r>
    </w:p>
    <w:p>
      <w:pPr>
        <w:pStyle w:val="Heading1"/>
        <w:spacing w:after="120" w:before="360"/>
      </w:pPr>
      <w:r>
        <w:rPr>
          <w:rFonts w:ascii="Arial" w:cs="Arial" w:eastAsia="Arial" w:hAnsi="Arial"/>
          <w:b/>
          <w:bCs/>
          <w:color w:val="1F3864"/>
          <w:sz w:val="32"/>
          <w:szCs w:val="32"/>
        </w:rPr>
        <w:t xml:space="preserve">6. Latency Analysis</w:t>
      </w:r>
    </w:p>
    <w:p>
      <w:pPr>
        <w:pStyle w:val="Heading2"/>
        <w:spacing w:after="80" w:before="240"/>
      </w:pPr>
      <w:r>
        <w:rPr>
          <w:rFonts w:ascii="Arial" w:cs="Arial" w:eastAsia="Arial" w:hAnsi="Arial"/>
          <w:b/>
          <w:bCs/>
          <w:color w:val="2E6DA4"/>
          <w:sz w:val="26"/>
          <w:szCs w:val="26"/>
        </w:rPr>
        <w:t xml:space="preserve">5G Latency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0FA" w:val="clear"/>
          </w:tcPr>
          <w:p>
            <w:pPr>
              <w:spacing w:after="80" w:before="80"/>
            </w:pPr>
            <w:r>
              <w:rPr>
                <w:i/>
                <w:iCs/>
                <w:sz w:val="19"/>
                <w:szCs w:val="19"/>
              </w:rPr>
              <w:t xml:space="preserve">[VERIFIED DATASET FACT] 5G mean latency of 29.86 ms represents a 60% reduction versus 4G (74.85 ms) and an 80% reduction versus 3G/LTE (~150 ms). The 5G latency range of 10.02–49.98 ms demonstrates moderate variability. Three distinct latency bands are visible: 5G (10–50 ms), 4G (50–100 ms), and 3G/LTE (100–200 ms).</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ITU-R Comparison</w:t>
      </w:r>
    </w:p>
    <w:p>
      <w:pPr>
        <w:spacing w:after="100" w:before="0" w:line="276"/>
        <w:jc w:val="left"/>
      </w:pPr>
      <w:r>
        <w:rPr>
          <w:rFonts w:ascii="Arial" w:cs="Arial" w:eastAsia="Arial" w:hAnsi="Arial"/>
          <w:b w:val="false"/>
          <w:bCs w:val="false"/>
          <w:i w:val="false"/>
          <w:iCs w:val="false"/>
          <w:color w:val="555555"/>
          <w:sz w:val="20"/>
          <w:szCs w:val="20"/>
        </w:rPr>
        <w:t xml:space="preserve">Source: ITU-R Report M.2410-0 (https://itu.int/dms_pub/itu-r/opb/rep/R-REP-M.2410-2017-PDF-E.pdf); Ookla/GSMA (https://www.ookla.com/articles/5g-global-reach-2024)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Benchmark</w:t>
            </w:r>
          </w:p>
        </w:tc>
        <w:tc>
          <w:tcPr>
            <w:tcW w:type="dxa" w:w="15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Dataset vs. Benchmark</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ITU-R IMT-2020 eMBB target</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4 ms</w:t>
            </w:r>
          </w:p>
        </w:tc>
        <w:tc>
          <w:tcPr>
            <w:tcW w:type="dxa" w:w="4680"/>
            <w:tcBorders>
              <w:top w:val="single" w:color="CCCCCC" w:sz="1"/>
              <w:left w:val="single" w:color="CCCCCC" w:sz="1"/>
              <w:bottom w:val="single" w:color="CCCCCC" w:sz="1"/>
              <w:right w:val="single" w:color="CCCCCC" w:sz="1"/>
            </w:tcBorders>
            <w:shd w:fill="FFF8E1" w:val="clear"/>
          </w:tcPr>
          <w:p>
            <w:pPr>
              <w:spacing w:after="60" w:before="60"/>
              <w:jc w:val="left"/>
            </w:pPr>
            <w:r>
              <w:rPr>
                <w:b w:val="false"/>
                <w:bCs w:val="false"/>
                <w:color w:val="000000"/>
                <w:sz w:val="20"/>
                <w:szCs w:val="20"/>
              </w:rPr>
              <w:t xml:space="preserve">5G at 29.86 ms — far above target</w:t>
            </w:r>
          </w:p>
        </w:tc>
      </w:tr>
      <w:tr>
        <w:tc>
          <w:tcPr>
            <w:tcW w:type="dxa" w:w="3120"/>
            <w:tcBorders>
              <w:top w:val="single" w:color="CCCCCC" w:sz="1"/>
              <w:left w:val="single" w:color="CCCCCC" w:sz="1"/>
              <w:bottom w:val="single" w:color="CCCCCC" w:sz="1"/>
              <w:right w:val="single" w:color="CCCCCC" w:sz="1"/>
            </w:tcBorders>
            <w:shd w:fill="F5F8FC" w:val="clear"/>
          </w:tcPr>
          <w:p>
            <w:pPr>
              <w:spacing w:after="60" w:before="60"/>
              <w:jc w:val="left"/>
            </w:pPr>
            <w:r>
              <w:rPr>
                <w:b/>
                <w:bCs/>
                <w:color w:val="000000"/>
                <w:sz w:val="20"/>
                <w:szCs w:val="20"/>
              </w:rPr>
              <w:t xml:space="preserve">ITU-R IMT-2020 URLLC target</w:t>
            </w:r>
          </w:p>
        </w:tc>
        <w:tc>
          <w:tcPr>
            <w:tcW w:type="dxa" w:w="156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1 ms</w:t>
            </w:r>
          </w:p>
        </w:tc>
        <w:tc>
          <w:tcPr>
            <w:tcW w:type="dxa" w:w="4680"/>
            <w:tcBorders>
              <w:top w:val="single" w:color="CCCCCC" w:sz="1"/>
              <w:left w:val="single" w:color="CCCCCC" w:sz="1"/>
              <w:bottom w:val="single" w:color="CCCCCC" w:sz="1"/>
              <w:right w:val="single" w:color="CCCCCC" w:sz="1"/>
            </w:tcBorders>
            <w:shd w:fill="FFF8E1" w:val="clear"/>
          </w:tcPr>
          <w:p>
            <w:pPr>
              <w:spacing w:after="60" w:before="60"/>
              <w:jc w:val="left"/>
            </w:pPr>
            <w:r>
              <w:rPr>
                <w:b w:val="false"/>
                <w:bCs w:val="false"/>
                <w:color w:val="000000"/>
                <w:sz w:val="20"/>
                <w:szCs w:val="20"/>
              </w:rPr>
              <w:t xml:space="preserve">5G at 29.86 ms — far above target</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Ookla global median 5G latency</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~44 ms</w:t>
            </w:r>
          </w:p>
        </w:tc>
        <w:tc>
          <w:tcPr>
            <w:tcW w:type="dxa" w:w="4680"/>
            <w:tcBorders>
              <w:top w:val="single" w:color="CCCCCC" w:sz="1"/>
              <w:left w:val="single" w:color="CCCCCC" w:sz="1"/>
              <w:bottom w:val="single" w:color="CCCCCC" w:sz="1"/>
              <w:right w:val="single" w:color="CCCCCC" w:sz="1"/>
            </w:tcBorders>
            <w:shd w:fill="E8F5E8" w:val="clear"/>
          </w:tcPr>
          <w:p>
            <w:pPr>
              <w:spacing w:after="60" w:before="60"/>
              <w:jc w:val="left"/>
            </w:pPr>
            <w:r>
              <w:rPr>
                <w:b w:val="false"/>
                <w:bCs w:val="false"/>
                <w:color w:val="000000"/>
                <w:sz w:val="20"/>
                <w:szCs w:val="20"/>
              </w:rPr>
              <w:t xml:space="preserve">Dataset 5G at 29.86 ms — better</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Application Readiness</w:t>
      </w:r>
    </w:p>
    <w:p>
      <w:pPr>
        <w:spacing w:after="100" w:before="0" w:line="276"/>
        <w:jc w:val="left"/>
      </w:pPr>
      <w:r>
        <w:rPr>
          <w:rFonts w:ascii="Arial" w:cs="Arial" w:eastAsia="Arial" w:hAnsi="Arial"/>
          <w:b w:val="false"/>
          <w:bCs w:val="false"/>
          <w:i w:val="false"/>
          <w:iCs w:val="false"/>
          <w:color w:val="000000"/>
          <w:sz w:val="22"/>
          <w:szCs w:val="22"/>
        </w:rPr>
        <w:t xml:space="preserve">The following is based on [EXTERNAL RESEARCH SIGNAL] industry latency requirements. The dataset does NOT prove application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Application Category</w:t>
            </w:r>
          </w:p>
        </w:tc>
        <w:tc>
          <w:tcPr>
            <w:tcW w:type="dxa" w:w="10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Assessment</w:t>
            </w:r>
          </w:p>
        </w:tc>
        <w:tc>
          <w:tcPr>
            <w:tcW w:type="dxa" w:w="520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eMBB / Video Conferencing</w:t>
            </w:r>
          </w:p>
        </w:tc>
        <w:tc>
          <w:tcPr>
            <w:tcW w:type="dxa" w:w="1040"/>
            <w:tcBorders>
              <w:top w:val="single" w:color="CCCCCC" w:sz="1"/>
              <w:left w:val="single" w:color="CCCCCC" w:sz="1"/>
              <w:bottom w:val="single" w:color="CCCCCC" w:sz="1"/>
              <w:right w:val="single" w:color="CCCCCC" w:sz="1"/>
            </w:tcBorders>
            <w:shd w:fill="E8F5E8" w:val="clear"/>
          </w:tcPr>
          <w:p>
            <w:pPr>
              <w:spacing w:after="60" w:before="60"/>
              <w:jc w:val="center"/>
            </w:pPr>
            <w:r>
              <w:rPr>
                <w:b w:val="false"/>
                <w:bCs w:val="false"/>
                <w:color w:val="000000"/>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5G at 29.86 ms supports these application categories</w:t>
            </w:r>
          </w:p>
        </w:tc>
      </w:tr>
      <w:tr>
        <w:tc>
          <w:tcPr>
            <w:tcW w:type="dxa" w:w="3120"/>
            <w:tcBorders>
              <w:top w:val="single" w:color="CCCCCC" w:sz="1"/>
              <w:left w:val="single" w:color="CCCCCC" w:sz="1"/>
              <w:bottom w:val="single" w:color="CCCCCC" w:sz="1"/>
              <w:right w:val="single" w:color="CCCCCC" w:sz="1"/>
            </w:tcBorders>
            <w:shd w:fill="F5F8FC" w:val="clear"/>
          </w:tcPr>
          <w:p>
            <w:pPr>
              <w:spacing w:after="60" w:before="60"/>
              <w:jc w:val="left"/>
            </w:pPr>
            <w:r>
              <w:rPr>
                <w:b/>
                <w:bCs/>
                <w:color w:val="000000"/>
                <w:sz w:val="20"/>
                <w:szCs w:val="20"/>
              </w:rPr>
              <w:t xml:space="preserve">Enterprise IoT Monitoring</w:t>
            </w:r>
          </w:p>
        </w:tc>
        <w:tc>
          <w:tcPr>
            <w:tcW w:type="dxa" w:w="1040"/>
            <w:tcBorders>
              <w:top w:val="single" w:color="CCCCCC" w:sz="1"/>
              <w:left w:val="single" w:color="CCCCCC" w:sz="1"/>
              <w:bottom w:val="single" w:color="CCCCCC" w:sz="1"/>
              <w:right w:val="single" w:color="CCCCCC" w:sz="1"/>
            </w:tcBorders>
            <w:shd w:fill="E8F5E8" w:val="clear"/>
          </w:tcPr>
          <w:p>
            <w:pPr>
              <w:spacing w:after="60" w:before="60"/>
              <w:jc w:val="center"/>
            </w:pPr>
            <w:r>
              <w:rPr>
                <w:b w:val="false"/>
                <w:bCs w:val="false"/>
                <w:color w:val="000000"/>
                <w:sz w:val="20"/>
                <w:szCs w:val="20"/>
              </w:rPr>
              <w:t xml:space="preserve">✅</w:t>
            </w:r>
          </w:p>
        </w:tc>
        <w:tc>
          <w:tcPr>
            <w:tcW w:type="dxa" w:w="520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Many IoT monitoring apps tolerate latencies &gt;20 ms</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Industrial Real-Time Control</w:t>
            </w:r>
          </w:p>
        </w:tc>
        <w:tc>
          <w:tcPr>
            <w:tcW w:type="dxa" w:w="1040"/>
            <w:tcBorders>
              <w:top w:val="single" w:color="CCCCCC" w:sz="1"/>
              <w:left w:val="single" w:color="CCCCCC" w:sz="1"/>
              <w:bottom w:val="single" w:color="CCCCCC" w:sz="1"/>
              <w:right w:val="single" w:color="CCCCCC" w:sz="1"/>
            </w:tcBorders>
            <w:shd w:fill="FDECEA" w:val="clear"/>
          </w:tcPr>
          <w:p>
            <w:pPr>
              <w:spacing w:after="60" w:before="60"/>
              <w:jc w:val="center"/>
            </w:pPr>
            <w:r>
              <w:rPr>
                <w:b w:val="false"/>
                <w:bCs w:val="false"/>
                <w:color w:val="000000"/>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Requires sub-10 ms — SA architecture and edge-computing approaches should be investigated where ultra-low-latency requirements apply</w:t>
            </w:r>
          </w:p>
        </w:tc>
      </w:tr>
      <w:tr>
        <w:tc>
          <w:tcPr>
            <w:tcW w:type="dxa" w:w="3120"/>
            <w:tcBorders>
              <w:top w:val="single" w:color="CCCCCC" w:sz="1"/>
              <w:left w:val="single" w:color="CCCCCC" w:sz="1"/>
              <w:bottom w:val="single" w:color="CCCCCC" w:sz="1"/>
              <w:right w:val="single" w:color="CCCCCC" w:sz="1"/>
            </w:tcBorders>
            <w:shd w:fill="F5F8FC" w:val="clear"/>
          </w:tcPr>
          <w:p>
            <w:pPr>
              <w:spacing w:after="60" w:before="60"/>
              <w:jc w:val="left"/>
            </w:pPr>
            <w:r>
              <w:rPr>
                <w:b/>
                <w:bCs/>
                <w:color w:val="000000"/>
                <w:sz w:val="20"/>
                <w:szCs w:val="20"/>
              </w:rPr>
              <w:t xml:space="preserve">URLLC (Remote Surgery, Autonomous Vehicles)</w:t>
            </w:r>
          </w:p>
        </w:tc>
        <w:tc>
          <w:tcPr>
            <w:tcW w:type="dxa" w:w="1040"/>
            <w:tcBorders>
              <w:top w:val="single" w:color="CCCCCC" w:sz="1"/>
              <w:left w:val="single" w:color="CCCCCC" w:sz="1"/>
              <w:bottom w:val="single" w:color="CCCCCC" w:sz="1"/>
              <w:right w:val="single" w:color="CCCCCC" w:sz="1"/>
            </w:tcBorders>
            <w:shd w:fill="FDECEA" w:val="clear"/>
          </w:tcPr>
          <w:p>
            <w:pPr>
              <w:spacing w:after="60" w:before="60"/>
              <w:jc w:val="center"/>
            </w:pPr>
            <w:r>
              <w:rPr>
                <w:b w:val="false"/>
                <w:bCs w:val="false"/>
                <w:color w:val="000000"/>
                <w:sz w:val="20"/>
                <w:szCs w:val="20"/>
              </w:rPr>
              <w:t xml:space="preserve">❌</w:t>
            </w:r>
          </w:p>
        </w:tc>
        <w:tc>
          <w:tcPr>
            <w:tcW w:type="dxa" w:w="520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Requires sub-1 ms — requires SA architecture and MEC infrastructure</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Evidence"/>
      </w:pPr>
      <w:r>
        <w:rPr>
          <w:i/>
          <w:iCs/>
          <w:sz w:val="19"/>
          <w:szCs w:val="19"/>
        </w:rPr>
        <w:t xml:space="preserve">Evidence Reference: Quick_Screenshots/09_Latency_Distribution.png, Quick_Screenshots/05_Network_Performance.png, Quick_Screenshots/16_Network_Locality_Crosstab.png</w:t>
      </w:r>
    </w:p>
    <w:p>
      <w:pPr>
        <w:pStyle w:val="Heading1"/>
        <w:spacing w:after="120" w:before="360"/>
      </w:pPr>
      <w:r>
        <w:rPr>
          <w:rFonts w:ascii="Arial" w:cs="Arial" w:eastAsia="Arial" w:hAnsi="Arial"/>
          <w:b/>
          <w:bCs/>
          <w:color w:val="1F3864"/>
          <w:sz w:val="32"/>
          <w:szCs w:val="32"/>
        </w:rPr>
        <w:t xml:space="preserve">7. Locality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0FA" w:val="clear"/>
          </w:tcPr>
          <w:p>
            <w:pPr>
              <w:spacing w:after="80" w:before="80"/>
            </w:pPr>
            <w:r>
              <w:rPr>
                <w:i/>
                <w:iCs/>
                <w:sz w:val="19"/>
                <w:szCs w:val="19"/>
              </w:rPr>
              <w:t xml:space="preserve">[VERIFIED DATASET FACT] All 20 localities contain records for all four network types, enabling consistent cross-locality comparisons.</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Rajendra Nagar vs. Danapur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Locality</w:t>
            </w:r>
          </w:p>
        </w:tc>
        <w:tc>
          <w:tcPr>
            <w:tcW w:type="dxa" w:w="23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Mean Throughput (Mbps)</w:t>
            </w:r>
          </w:p>
        </w:tc>
        <w:tc>
          <w:tcPr>
            <w:tcW w:type="dxa" w:w="23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Mean Latency (ms)</w:t>
            </w:r>
          </w:p>
        </w:tc>
        <w:tc>
          <w:tcPr>
            <w:tcW w:type="dxa" w:w="15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Rank</w:t>
            </w:r>
          </w:p>
        </w:tc>
      </w:tr>
      <w:tr>
        <w:tc>
          <w:tcPr>
            <w:tcW w:type="dxa" w:w="3120"/>
            <w:tcBorders>
              <w:top w:val="single" w:color="CCCCCC" w:sz="1"/>
              <w:left w:val="single" w:color="CCCCCC" w:sz="1"/>
              <w:bottom w:val="single" w:color="CCCCCC" w:sz="1"/>
              <w:right w:val="single" w:color="CCCCCC" w:sz="1"/>
            </w:tcBorders>
            <w:shd w:fill="F0F7FF" w:val="clear"/>
          </w:tcPr>
          <w:p>
            <w:pPr>
              <w:spacing w:after="60" w:before="60"/>
              <w:jc w:val="left"/>
            </w:pPr>
            <w:r>
              <w:rPr>
                <w:b/>
                <w:bCs/>
                <w:color w:val="000000"/>
                <w:sz w:val="20"/>
                <w:szCs w:val="20"/>
              </w:rPr>
              <w:t xml:space="preserve">Rajendra Nagar (Best)</w:t>
            </w:r>
          </w:p>
        </w:tc>
        <w:tc>
          <w:tcPr>
            <w:tcW w:type="dxa" w:w="234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17.66</w:t>
            </w:r>
          </w:p>
        </w:tc>
        <w:tc>
          <w:tcPr>
            <w:tcW w:type="dxa" w:w="234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98.23</w:t>
            </w:r>
          </w:p>
        </w:tc>
        <w:tc>
          <w:tcPr>
            <w:tcW w:type="dxa" w:w="156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1st</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Danapur (Lowest)</w:t>
            </w:r>
          </w:p>
        </w:tc>
        <w:tc>
          <w:tcPr>
            <w:tcW w:type="dxa" w:w="23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14.65</w:t>
            </w:r>
          </w:p>
        </w:tc>
        <w:tc>
          <w:tcPr>
            <w:tcW w:type="dxa" w:w="23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104.26</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20th</w:t>
            </w:r>
          </w:p>
        </w:tc>
      </w:tr>
      <w:tr>
        <w:tc>
          <w:tcPr>
            <w:tcW w:type="dxa" w:w="312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Observed Spread</w:t>
            </w:r>
          </w:p>
        </w:tc>
        <w:tc>
          <w:tcPr>
            <w:tcW w:type="dxa" w:w="234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~3 Mbps</w:t>
            </w:r>
          </w:p>
        </w:tc>
        <w:tc>
          <w:tcPr>
            <w:tcW w:type="dxa" w:w="234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~6 ms</w:t>
            </w:r>
          </w:p>
        </w:tc>
        <w:tc>
          <w:tcPr>
            <w:tcW w:type="dxa" w:w="156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
            </w:r>
          </w:p>
        </w:tc>
      </w:tr>
    </w:tbl>
    <w:p>
      <w:pPr>
        <w:spacing w:after="10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0FA" w:val="clear"/>
          </w:tcPr>
          <w:p>
            <w:pPr>
              <w:spacing w:after="80" w:before="80"/>
            </w:pPr>
            <w:r>
              <w:rPr>
                <w:i/>
                <w:iCs/>
                <w:sz w:val="19"/>
                <w:szCs w:val="19"/>
              </w:rPr>
              <w:t xml:space="preserve">OBSERVED DESCRIPTIVE COMPARISON: The observed ~3 Mbps locality spread (Rajendra Nagar 17.66 vs. Danapur 14.65 Mbps) is dwarfed by the observed ~48 Mbps technology-type difference (5G 54.58 vs. 4G 6.50 Mbps). This yields an approximate 16:1 ratio between technology-type and locality observed performance differences. Network technology type shows substantially greater observed performance differences than locality in this dataset. These are observed descriptive differences, not causal effects.</w:t>
            </w:r>
          </w:p>
        </w:tc>
      </w:tr>
    </w:tbl>
    <w:p>
      <w:pPr>
        <w:spacing w:after="8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4E8" w:val="clear"/>
          </w:tcPr>
          <w:p>
            <w:pPr>
              <w:spacing w:after="80" w:before="80"/>
            </w:pPr>
            <w:r>
              <w:rPr>
                <w:i/>
                <w:iCs/>
                <w:sz w:val="19"/>
                <w:szCs w:val="19"/>
              </w:rPr>
              <w:t xml:space="preserve">[HYPOTHESIS FOR FURTHER RESEARCH] The modest locality variation may reflect relatively uniform infrastructure deployment within the Patna metropolitan area, or may reflect characteristics of the measurement methodology. Locality differences do not automatically prove coverage, congestion, or infrastructure problems. Additional infrastructure and network load data would be required to investigate underlying causes.</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Evidence"/>
      </w:pPr>
      <w:r>
        <w:rPr>
          <w:i/>
          <w:iCs/>
          <w:sz w:val="19"/>
          <w:szCs w:val="19"/>
        </w:rPr>
        <w:t>Evidence Reference: Quick_Screenshots/07_Locality_Network_Heatmap.png, Quick_Screenshots/17A_Locality_Network_Performance_Verification.png, Quick_Screenshots/17B_Locality_Network_Performance_Verification.png, Quick_Screenshots/17C_Locality_Network_Performance_Verification.png, Quick_Screenshots/34_Locality_5G_Share_Correlation.png</w:t>
      </w:r>
    </w:p>
    <w:p>
      <w:pPr>
        <w:pStyle w:val="Heading1"/>
        <w:spacing w:after="120" w:before="360"/>
      </w:pPr>
      <w:r>
        <w:rPr>
          <w:rFonts w:ascii="Arial" w:cs="Arial" w:eastAsia="Arial" w:hAnsi="Arial"/>
          <w:b/>
          <w:bCs/>
          <w:color w:val="1F3864"/>
          <w:sz w:val="32"/>
          <w:szCs w:val="32"/>
        </w:rPr>
        <w:t xml:space="preserve">8. Signal/Performance Relationships</w:t>
      </w:r>
    </w:p>
    <w:p>
      <w:pPr>
        <w:pStyle w:val="Heading2"/>
        <w:spacing w:after="80" w:before="240"/>
      </w:pPr>
      <w:r>
        <w:rPr>
          <w:rFonts w:ascii="Arial" w:cs="Arial" w:eastAsia="Arial" w:hAnsi="Arial"/>
          <w:b/>
          <w:bCs/>
          <w:color w:val="2E6DA4"/>
          <w:sz w:val="26"/>
          <w:szCs w:val="26"/>
        </w:rPr>
        <w:t xml:space="preserve">Signal Strength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0FA" w:val="clear"/>
          </w:tcPr>
          <w:p>
            <w:pPr>
              <w:spacing w:after="80" w:before="80"/>
            </w:pPr>
            <w:r>
              <w:rPr>
                <w:i/>
                <w:iCs/>
                <w:sz w:val="19"/>
                <w:szCs w:val="19"/>
              </w:rPr>
              <w:t xml:space="preserve">[VERIFIED DATASET FACT] Signal Strength statistics across all 16,829 records:</w:t>
            </w:r>
          </w:p>
        </w:tc>
      </w:tr>
    </w:tbl>
    <w:p>
      <w:pPr>
        <w:spacing w:after="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Mean Signal Strength</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−90.07 dBm</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Moderate signal level; typical for cellular measurements</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Standard Deviation</w:t>
            </w:r>
          </w:p>
        </w:tc>
        <w:tc>
          <w:tcPr>
            <w:tcW w:type="dxa" w:w="312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5.40 dBm</w:t>
            </w:r>
          </w:p>
        </w:tc>
        <w:tc>
          <w:tcPr>
            <w:tcW w:type="dxa" w:w="312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Relatively narrow distribution</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Minimum</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−116.94 dBm</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Weakest recorded signal</w:t>
            </w:r>
          </w:p>
        </w:tc>
      </w:tr>
      <w:tr>
        <w:tc>
          <w:tcPr>
            <w:tcW w:type="dxa" w:w="3120"/>
            <w:tcBorders>
              <w:top w:val="single" w:color="CCCCCC" w:sz="1"/>
              <w:left w:val="single" w:color="CCCCCC" w:sz="1"/>
              <w:bottom w:val="single" w:color="CCCCCC" w:sz="1"/>
              <w:right w:val="single" w:color="CCCCCC" w:sz="1"/>
            </w:tcBorders>
            <w:shd w:fill="EEF4FB" w:val="clear"/>
          </w:tcPr>
          <w:p>
            <w:pPr>
              <w:spacing w:after="60" w:before="60"/>
            </w:pPr>
            <w:r>
              <w:rPr>
                <w:b/>
                <w:bCs/>
                <w:color w:val="1F3864"/>
                <w:sz w:val="20"/>
                <w:szCs w:val="20"/>
              </w:rPr>
              <w:t xml:space="preserve">Maximum</w:t>
            </w:r>
          </w:p>
        </w:tc>
        <w:tc>
          <w:tcPr>
            <w:tcW w:type="dxa" w:w="312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−74.64 dBm</w:t>
            </w:r>
          </w:p>
        </w:tc>
        <w:tc>
          <w:tcPr>
            <w:tcW w:type="dxa" w:w="312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Strongest recorded signal</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Correlations (r = −0.4838 / r = +0.5036)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0FA" w:val="clear"/>
          </w:tcPr>
          <w:p>
            <w:pPr>
              <w:spacing w:after="80" w:before="80"/>
            </w:pPr>
            <w:r>
              <w:rPr>
                <w:i/>
                <w:iCs/>
                <w:sz w:val="19"/>
                <w:szCs w:val="19"/>
              </w:rPr>
              <w:t xml:space="preserve">[VERIFIED DATASET FACT] Pearson correlation coefficients:</w:t>
            </w:r>
          </w:p>
        </w:tc>
      </w:tr>
    </w:tbl>
    <w:p>
      <w:pPr>
        <w:spacing w:after="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Metric Pair</w:t>
            </w:r>
          </w:p>
        </w:tc>
        <w:tc>
          <w:tcPr>
            <w:tcW w:type="dxa" w:w="10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r</w:t>
            </w:r>
          </w:p>
        </w:tc>
        <w:tc>
          <w:tcPr>
            <w:tcW w:type="dxa" w:w="10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r²</w:t>
            </w:r>
          </w:p>
        </w:tc>
        <w:tc>
          <w:tcPr>
            <w:tcW w:type="dxa" w:w="41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0F7FF" w:val="clear"/>
          </w:tcPr>
          <w:p>
            <w:pPr>
              <w:spacing w:after="60" w:before="60"/>
              <w:jc w:val="left"/>
            </w:pPr>
            <w:r>
              <w:rPr>
                <w:b/>
                <w:bCs/>
                <w:color w:val="000000"/>
                <w:sz w:val="20"/>
                <w:szCs w:val="20"/>
              </w:rPr>
              <w:t xml:space="preserve">Signal Strength vs. Throughput</w:t>
            </w:r>
          </w:p>
        </w:tc>
        <w:tc>
          <w:tcPr>
            <w:tcW w:type="dxa" w:w="104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−0.4838</w:t>
            </w:r>
          </w:p>
        </w:tc>
        <w:tc>
          <w:tcPr>
            <w:tcW w:type="dxa" w:w="104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~0.23</w:t>
            </w:r>
          </w:p>
        </w:tc>
        <w:tc>
          <w:tcPr>
            <w:tcW w:type="dxa" w:w="4160"/>
            <w:tcBorders>
              <w:top w:val="single" w:color="CCCCCC" w:sz="1"/>
              <w:left w:val="single" w:color="CCCCCC" w:sz="1"/>
              <w:bottom w:val="single" w:color="CCCCCC" w:sz="1"/>
              <w:right w:val="single" w:color="CCCCCC" w:sz="1"/>
            </w:tcBorders>
            <w:shd w:fill="F0F7FF" w:val="clear"/>
          </w:tcPr>
          <w:p>
            <w:pPr>
              <w:spacing w:after="60" w:before="60"/>
              <w:jc w:val="left"/>
            </w:pPr>
            <w:r>
              <w:rPr>
                <w:b w:val="false"/>
                <w:bCs w:val="false"/>
                <w:color w:val="000000"/>
                <w:sz w:val="20"/>
                <w:szCs w:val="20"/>
              </w:rPr>
              <w:t xml:space="preserve">Moderate negative pooled association: stronger (less-negative) signal goes with LOWER throughput; within each network type |r| &lt; 0.03</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Signal Strength vs. Latency</w:t>
            </w:r>
          </w:p>
        </w:tc>
        <w:tc>
          <w:tcPr>
            <w:tcW w:type="dxa" w:w="10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+0.5036</w:t>
            </w:r>
          </w:p>
        </w:tc>
        <w:tc>
          <w:tcPr>
            <w:tcW w:type="dxa" w:w="10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~0.25</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Moderate positive pooled association: stronger signal goes with HIGHER latency; within each network type |r| &lt; 0.03</w:t>
            </w:r>
          </w:p>
        </w:tc>
      </w:tr>
    </w:tbl>
    <w:p>
      <w:pPr>
        <w:spacing w:after="8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FFF8E1" w:val="clear"/>
          </w:tcPr>
          <w:p>
            <w:pPr>
              <w:spacing w:after="80" w:before="80"/>
            </w:pPr>
            <w:r>
              <w:rPr>
                <w:i/>
                <w:iCs/>
                <w:sz w:val="19"/>
                <w:szCs w:val="19"/>
              </w:rPr>
              <w:t xml:space="preserve">NON-CAUSAL INTERPRETATION: The corresponding squared correlations are approximately 0.23 and 0.25, indicating moderate association rather than a complete explanation of performance variation. Correlations describe observed relationships and do NOT establish causation. Other factors — network type, congestion, interference, spectrum allocation — also play significant roles.</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SDR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0FA" w:val="clear"/>
          </w:tcPr>
          <w:p>
            <w:pPr>
              <w:spacing w:after="80" w:before="80"/>
            </w:pPr>
            <w:r>
              <w:rPr>
                <w:i/>
                <w:iCs/>
                <w:sz w:val="19"/>
                <w:szCs w:val="19"/>
              </w:rPr>
              <w:t xml:space="preserve">[VERIFIED DATASET FACT] SDR instrument mean values (12,621 non-zero records): BB60C: −91.77 dBm • srsRAN: −99.26 dBm • BladeRFxA9: −91.77 dBm. The ~7.5 dBm difference between srsRAN and the other two instruments is consistent with srsRAN protocol-level measurement approach versus the spectrum-level measurements of BB60C and BladeRFxA9.</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Signal Quality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FFF3E6" w:val="clear"/>
          </w:tcPr>
          <w:p>
            <w:pPr>
              <w:spacing w:after="80" w:before="80"/>
            </w:pPr>
            <w:r>
              <w:rPr>
                <w:i/>
                <w:iCs/>
                <w:sz w:val="19"/>
                <w:szCs w:val="19"/>
              </w:rPr>
              <w:t xml:space="preserve">[LIMITATION] Signal Quality is recorded as 0% for all 16,829 records. This is a uniform-value data collection limitation — NOT an indication of poor signal quality. A functioning Signal Quality metric (SINR, RSRQ, or CQI) would enable distinction between coverage-limited and interference-limited conditions.</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Evidence"/>
      </w:pPr>
      <w:r>
        <w:rPr>
          <w:i/>
          <w:iCs/>
          <w:sz w:val="19"/>
          <w:szCs w:val="19"/>
        </w:rPr>
        <w:t xml:space="preserve">Evidence Reference: Quick_Screenshots/21A_Signal_Performance_Integrity.png – 21C_Signal_Performance_Integrity.png, Quick_Screenshots/22A_Signal_Correlation_Verification.png – 22C_Signal_Correlation_Verification.png, Quick_Screenshots/23A_Signal_Quality_Verification.png – 23C_Signal_Quality_Verification.png, Quick_Screenshots/24A_SDR_Measurement_Verification.png – 24E_SDR_Measurement_Verification.png, Quick_Screenshots/25A_Signal_Final_Reconciliation.png – 25F_Signal_Final_Reconciliation.png</w:t>
      </w:r>
    </w:p>
    <w:p>
      <w:pPr>
        <w:pStyle w:val="Heading1"/>
        <w:spacing w:after="120" w:before="360"/>
      </w:pPr>
      <w:r>
        <w:rPr>
          <w:rFonts w:ascii="Arial" w:cs="Arial" w:eastAsia="Arial" w:hAnsi="Arial"/>
          <w:b/>
          <w:bCs/>
          <w:color w:val="1F3864"/>
          <w:sz w:val="32"/>
          <w:szCs w:val="32"/>
        </w:rPr>
        <w:t xml:space="preserve">9. External Benchmark Context</w:t>
      </w:r>
    </w:p>
    <w:p>
      <w:pPr>
        <w:spacing w:after="120" w:before="0" w:line="276"/>
        <w:jc w:val="left"/>
      </w:pPr>
      <w:r>
        <w:rPr>
          <w:rFonts w:ascii="Arial" w:cs="Arial" w:eastAsia="Arial" w:hAnsi="Arial"/>
          <w:b w:val="false"/>
          <w:bCs w:val="false"/>
          <w:i w:val="false"/>
          <w:iCs w:val="false"/>
          <w:color w:val="000000"/>
          <w:sz w:val="22"/>
          <w:szCs w:val="22"/>
        </w:rPr>
        <w:t xml:space="preserve">The following table compares the observed dataset 5G performance against authoritative external benchmarks. All external values are labeled [EXTERNAL RESEARCH SIGNAL] and are NOT derived from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Benchmark</w:t>
            </w:r>
          </w:p>
        </w:tc>
        <w:tc>
          <w:tcPr>
            <w:tcW w:type="dxa" w:w="15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Throughput</w:t>
            </w:r>
          </w:p>
        </w:tc>
        <w:tc>
          <w:tcPr>
            <w:tcW w:type="dxa" w:w="10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Latency</w:t>
            </w:r>
          </w:p>
        </w:tc>
        <w:tc>
          <w:tcPr>
            <w:tcW w:type="dxa" w:w="41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Source / Methodology Caveat</w:t>
            </w:r>
          </w:p>
        </w:tc>
      </w:tr>
      <w:tr>
        <w:tc>
          <w:tcPr>
            <w:tcW w:type="dxa" w:w="2600"/>
            <w:tcBorders>
              <w:top w:val="single" w:color="CCCCCC" w:sz="1"/>
              <w:left w:val="single" w:color="CCCCCC" w:sz="1"/>
              <w:bottom w:val="single" w:color="CCCCCC" w:sz="1"/>
              <w:right w:val="single" w:color="CCCCCC" w:sz="1"/>
            </w:tcBorders>
            <w:shd w:fill="F0F7FF" w:val="clear"/>
          </w:tcPr>
          <w:p>
            <w:pPr>
              <w:spacing w:after="60" w:before="60"/>
              <w:jc w:val="left"/>
            </w:pPr>
            <w:r>
              <w:rPr>
                <w:b/>
                <w:bCs/>
                <w:color w:val="000000"/>
                <w:sz w:val="20"/>
                <w:szCs w:val="20"/>
              </w:rPr>
              <w:t xml:space="preserve">This Dataset (5G observed)</w:t>
            </w:r>
          </w:p>
        </w:tc>
        <w:tc>
          <w:tcPr>
            <w:tcW w:type="dxa" w:w="156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54.58 Mbps</w:t>
            </w:r>
          </w:p>
        </w:tc>
        <w:tc>
          <w:tcPr>
            <w:tcW w:type="dxa" w:w="104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29.86 ms</w:t>
            </w:r>
          </w:p>
        </w:tc>
        <w:tc>
          <w:tcPr>
            <w:tcW w:type="dxa" w:w="4160"/>
            <w:tcBorders>
              <w:top w:val="single" w:color="CCCCCC" w:sz="1"/>
              <w:left w:val="single" w:color="CCCCCC" w:sz="1"/>
              <w:bottom w:val="single" w:color="CCCCCC" w:sz="1"/>
              <w:right w:val="single" w:color="CCCCCC" w:sz="1"/>
            </w:tcBorders>
            <w:shd w:fill="F0F7FF" w:val="clear"/>
          </w:tcPr>
          <w:p>
            <w:pPr>
              <w:spacing w:after="60" w:before="60"/>
              <w:jc w:val="left"/>
            </w:pPr>
            <w:r>
              <w:rPr>
                <w:b w:val="false"/>
                <w:bCs w:val="false"/>
                <w:color w:val="000000"/>
                <w:sz w:val="20"/>
                <w:szCs w:val="20"/>
              </w:rPr>
              <w:t xml:space="preserve">[VERIFIED DATASET FACT] Patna, India, May–June 2023, SDR instruments</w:t>
            </w:r>
          </w:p>
        </w:tc>
      </w:tr>
      <w:tr>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ITU-R IMT-2020 User-Experienced Target</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100 Mbps</w:t>
            </w:r>
          </w:p>
        </w:tc>
        <w:tc>
          <w:tcPr>
            <w:tcW w:type="dxa" w:w="10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4 ms (eMBB)</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[EXTERNAL RESEARCH SIGNAL] Minimum requirement standard, not commercial measurement</w:t>
            </w:r>
          </w:p>
        </w:tc>
      </w:tr>
      <w:tr>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Ookla Global Median 5G (Q3 2023)</w:t>
            </w:r>
          </w:p>
        </w:tc>
        <w:tc>
          <w:tcPr>
            <w:tcW w:type="dxa" w:w="156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~203 Mbps</w:t>
            </w:r>
          </w:p>
        </w:tc>
        <w:tc>
          <w:tcPr>
            <w:tcW w:type="dxa" w:w="104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~44 ms</w:t>
            </w:r>
          </w:p>
        </w:tc>
        <w:tc>
          <w:tcPr>
            <w:tcW w:type="dxa" w:w="416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[EXTERNAL RESEARCH SIGNAL] Consumer device speedtest, globally aggregated</w:t>
            </w:r>
          </w:p>
        </w:tc>
      </w:tr>
      <w:tr>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India National Average 5G</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~243 Mbps</w:t>
            </w:r>
          </w:p>
        </w:tc>
        <w:tc>
          <w:tcPr>
            <w:tcW w:type="dxa" w:w="10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N/A</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[EXTERNAL RESEARCH SIGNAL] GSMA; national aggregate, different methodology</w:t>
            </w:r>
          </w:p>
        </w:tc>
      </w:tr>
      <w:tr>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US T-Mobile Median 5G (H2 2025)</w:t>
            </w:r>
          </w:p>
        </w:tc>
        <w:tc>
          <w:tcPr>
            <w:tcW w:type="dxa" w:w="156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309 Mbps</w:t>
            </w:r>
          </w:p>
        </w:tc>
        <w:tc>
          <w:tcPr>
            <w:tcW w:type="dxa" w:w="104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N/A</w:t>
            </w:r>
          </w:p>
        </w:tc>
        <w:tc>
          <w:tcPr>
            <w:tcW w:type="dxa" w:w="416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[EXTERNAL RESEARCH SIGNAL] Ookla; mature market, different deployment conditions</w:t>
            </w:r>
          </w:p>
        </w:tc>
      </w:tr>
      <w:tr>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Global 5G SA Median (Ookla 2026)</w:t>
            </w:r>
          </w:p>
        </w:tc>
        <w:tc>
          <w:tcPr>
            <w:tcW w:type="dxa" w:w="156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269.51 Mbps</w:t>
            </w:r>
          </w:p>
        </w:tc>
        <w:tc>
          <w:tcPr>
            <w:tcW w:type="dxa" w:w="104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N/A</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[EXTERNAL RESEARCH SIGNAL] Ookla; SA networks only, 52% premium over NSA</w:t>
            </w:r>
          </w:p>
        </w:tc>
      </w:tr>
    </w:tbl>
    <w:p>
      <w:pPr>
        <w:spacing w:after="8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FFF3E6" w:val="clear"/>
          </w:tcPr>
          <w:p>
            <w:pPr>
              <w:spacing w:after="80" w:before="80"/>
            </w:pPr>
            <w:r>
              <w:rPr>
                <w:i/>
                <w:iCs/>
                <w:sz w:val="19"/>
                <w:szCs w:val="19"/>
              </w:rPr>
              <w:t xml:space="preserve">[LIMITATION] The dataset is not globally representative. Benchmark differences reflect geography, measurement methodology, device conditions, spectrum allocation, deployment architecture (NSA vs. SA), and deployment maturity. The gap between the observed 5G performance (54.58 Mbps) and commercial benchmarks (200+ Mbps) may reflect deployment maturity, architecture, spectrum allocation, network load, measurement conditions, or other factors; the dataset does not contain sufficient metadata to determine the underlying cause.</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10. Five Technology Intelligence Signals</w:t>
      </w:r>
    </w:p>
    <w:p>
      <w:pPr>
        <w:spacing w:after="120" w:before="0" w:line="276"/>
        <w:jc w:val="left"/>
      </w:pPr>
      <w:r>
        <w:rPr>
          <w:rFonts w:ascii="Arial" w:cs="Arial" w:eastAsia="Arial" w:hAnsi="Arial"/>
          <w:b w:val="false"/>
          <w:bCs w:val="false"/>
          <w:i w:val="false"/>
          <w:iCs w:val="false"/>
          <w:color w:val="000000"/>
          <w:sz w:val="22"/>
          <w:szCs w:val="22"/>
        </w:rPr>
        <w:t xml:space="preserve">The following five technology intelligence signals represent the principal findings derived from the NOVASPHERE dataset, consistent with the framing established in the Research Report (Document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dxa" w:w="9360"/>
            <w:gridSpan w:val="1"/>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SIGNAL 1: 5G Shows Substantially Higher Observed Throughput</w:t>
            </w:r>
          </w:p>
        </w:tc>
      </w:tr>
      <w:tr>
        <w:tc>
          <w:tcPr>
            <w:tcBorders>
              <w:top w:val="single" w:color="CCCCCC" w:sz="1"/>
              <w:left w:val="single" w:color="CCCCCC" w:sz="1"/>
              <w:bottom w:val="single" w:color="CCCCCC" w:sz="1"/>
              <w:right w:val="single" w:color="CCCCCC" w:sz="1"/>
            </w:tcBorders>
            <w:shd w:fill="FFFFFF" w:val="clear"/>
          </w:tcPr>
          <w:p>
            <w:pPr>
              <w:spacing w:after="60" w:before="60"/>
            </w:pPr>
            <w:r>
              <w:rPr>
                <w:b w:val="false"/>
                <w:bCs w:val="false"/>
                <w:i w:val="false"/>
                <w:iCs w:val="false"/>
                <w:sz w:val="21"/>
                <w:szCs w:val="21"/>
              </w:rPr>
              <w:t xml:space="preserve">[VERIFIED DATASET FACT] 5G mean throughput of 54.58 Mbps is 8.4× higher than 4G (6.50 Mbps) and ~27× higher than 3G/LTE (~2 Mbps). This pattern is consistent across all 20 localities.</w:t>
            </w:r>
          </w:p>
          <w:p>
            <w:pPr>
              <w:spacing w:after="60" w:before="60"/>
            </w:pPr>
            <w:r>
              <w:rPr>
                <w:b w:val="false"/>
                <w:bCs w:val="false"/>
                <w:i w:val="false"/>
                <w:iCs w:val="false"/>
                <w:sz w:val="21"/>
                <w:szCs w:val="21"/>
              </w:rPr>
              <w:t xml:space="preserve">[EXTERNAL RESEARCH SIGNAL] Ericsson (GCC Mobility Report) reports 6–10× throughput advantage for 5G over 4G in commercial deployments. Ookla/GSMA reports global median 5G speeds 7.37× faster than 4G.</w:t>
            </w:r>
          </w:p>
          <w:p>
            <w:pPr>
              <w:spacing w:after="60" w:before="60"/>
            </w:pPr>
            <w:r>
              <w:rPr>
                <w:b/>
                <w:bCs/>
                <w:i w:val="false"/>
                <w:iCs w:val="false"/>
                <w:sz w:val="21"/>
                <w:szCs w:val="21"/>
              </w:rPr>
              <w:t xml:space="preserve">Confidence: HIGH for directional finding.</w:t>
            </w:r>
          </w:p>
        </w:tc>
      </w:tr>
    </w:tbl>
    <w:p>
      <w:pPr>
        <w:spacing w:after="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dxa" w:w="9360"/>
            <w:gridSpan w:val="1"/>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SIGNAL 2: 5G Shows Substantially Lower Observed Latency</w:t>
            </w:r>
          </w:p>
        </w:tc>
      </w:tr>
      <w:tr>
        <w:tc>
          <w:tcPr>
            <w:tcBorders>
              <w:top w:val="single" w:color="CCCCCC" w:sz="1"/>
              <w:left w:val="single" w:color="CCCCCC" w:sz="1"/>
              <w:bottom w:val="single" w:color="CCCCCC" w:sz="1"/>
              <w:right w:val="single" w:color="CCCCCC" w:sz="1"/>
            </w:tcBorders>
            <w:shd w:fill="FFFFFF" w:val="clear"/>
          </w:tcPr>
          <w:p>
            <w:pPr>
              <w:spacing w:after="60" w:before="60"/>
            </w:pPr>
            <w:r>
              <w:rPr>
                <w:b w:val="false"/>
                <w:bCs w:val="false"/>
                <w:i w:val="false"/>
                <w:iCs w:val="false"/>
                <w:sz w:val="21"/>
                <w:szCs w:val="21"/>
              </w:rPr>
              <w:t xml:space="preserve">[VERIFIED DATASET FACT] 5G mean latency of 29.86 ms is 60% lower than 4G (74.85 ms) and 80% lower than 3G/LTE (~150 ms). The observed 29.86 ms is better than the Ookla global median of ~44 ms.</w:t>
            </w:r>
          </w:p>
          <w:p>
            <w:pPr>
              <w:spacing w:after="60" w:before="60"/>
            </w:pPr>
            <w:r>
              <w:rPr>
                <w:b w:val="false"/>
                <w:bCs w:val="false"/>
                <w:i w:val="false"/>
                <w:iCs w:val="false"/>
                <w:sz w:val="21"/>
                <w:szCs w:val="21"/>
              </w:rPr>
              <w:t xml:space="preserve">[EXTERNAL RESEARCH SIGNAL] ITU-R IMT-2020 targets 4 ms for eMBB and 1 ms for URLLC, which require SA architecture and edge computing. SA architecture and edge-computing approaches should be investigated where ultra-low-latency requirements apply.</w:t>
            </w:r>
          </w:p>
          <w:p>
            <w:pPr>
              <w:spacing w:after="60" w:before="60"/>
            </w:pPr>
            <w:r>
              <w:rPr>
                <w:b/>
                <w:bCs/>
                <w:i w:val="false"/>
                <w:iCs w:val="false"/>
                <w:sz w:val="21"/>
                <w:szCs w:val="21"/>
              </w:rPr>
              <w:t xml:space="preserve">Confidence: HIGH for directional finding.</w:t>
            </w:r>
          </w:p>
        </w:tc>
      </w:tr>
    </w:tbl>
    <w:p>
      <w:pPr>
        <w:spacing w:after="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dxa" w:w="9360"/>
            <w:gridSpan w:val="1"/>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SIGNAL 3: Observed 5G Throughput Should Be Interpreted Carefully Against External Benchmarks</w:t>
            </w:r>
          </w:p>
        </w:tc>
      </w:tr>
      <w:tr>
        <w:tc>
          <w:tcPr>
            <w:tcBorders>
              <w:top w:val="single" w:color="CCCCCC" w:sz="1"/>
              <w:left w:val="single" w:color="CCCCCC" w:sz="1"/>
              <w:bottom w:val="single" w:color="CCCCCC" w:sz="1"/>
              <w:right w:val="single" w:color="CCCCCC" w:sz="1"/>
            </w:tcBorders>
            <w:shd w:fill="FFFFFF" w:val="clear"/>
          </w:tcPr>
          <w:p>
            <w:pPr>
              <w:spacing w:after="60" w:before="60"/>
            </w:pPr>
            <w:r>
              <w:rPr>
                <w:b w:val="false"/>
                <w:bCs w:val="false"/>
                <w:i w:val="false"/>
                <w:iCs w:val="false"/>
                <w:sz w:val="21"/>
                <w:szCs w:val="21"/>
              </w:rPr>
              <w:t xml:space="preserve">[VERIFIED DATASET FACT] 5G mean of 54.58 Mbps falls significantly below global median (~203 Mbps), India average (~243 Mbps), and ITU-R target (100 Mbps).</w:t>
            </w:r>
          </w:p>
          <w:p>
            <w:pPr>
              <w:spacing w:after="60" w:before="60"/>
            </w:pPr>
            <w:r>
              <w:rPr>
                <w:b w:val="false"/>
                <w:bCs w:val="false"/>
                <w:i w:val="false"/>
                <w:iCs w:val="false"/>
                <w:sz w:val="21"/>
                <w:szCs w:val="21"/>
              </w:rPr>
              <w:t xml:space="preserve">[HYPOTHESIS FOR FURTHER RESEARCH] The observed throughput is consistent with conditions that could occur in sub-6 GHz deployments, but frequency-band metadata is unavailable and this cannot be confirmed.</w:t>
            </w:r>
          </w:p>
          <w:p>
            <w:pPr>
              <w:spacing w:after="60" w:before="60"/>
            </w:pPr>
            <w:r>
              <w:rPr>
                <w:b w:val="false"/>
                <w:bCs w:val="false"/>
                <w:i w:val="false"/>
                <w:iCs w:val="false"/>
                <w:sz w:val="21"/>
                <w:szCs w:val="21"/>
              </w:rPr>
              <w:t xml:space="preserve">The gap may reflect deployment maturity, architecture, spectrum allocation, network load, measurement conditions, or other factors; the dataset does not contain sufficient metadata to determine the underlying cause.</w:t>
            </w:r>
          </w:p>
          <w:p>
            <w:pPr>
              <w:spacing w:after="60" w:before="60"/>
            </w:pPr>
            <w:r>
              <w:rPr>
                <w:b/>
                <w:bCs/>
                <w:i w:val="false"/>
                <w:iCs w:val="false"/>
                <w:sz w:val="21"/>
                <w:szCs w:val="21"/>
              </w:rPr>
              <w:t xml:space="preserve">Confidence: MEDIUM — gap is real; explanation is plausible but unconfirmed.</w:t>
            </w:r>
          </w:p>
        </w:tc>
      </w:tr>
    </w:tbl>
    <w:p>
      <w:pPr>
        <w:spacing w:after="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dxa" w:w="9360"/>
            <w:gridSpan w:val="1"/>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SIGNAL 4: Signal Strength Has Moderate Observed Associations With Performance</w:t>
            </w:r>
          </w:p>
        </w:tc>
      </w:tr>
      <w:tr>
        <w:tc>
          <w:tcPr>
            <w:tcBorders>
              <w:top w:val="single" w:color="CCCCCC" w:sz="1"/>
              <w:left w:val="single" w:color="CCCCCC" w:sz="1"/>
              <w:bottom w:val="single" w:color="CCCCCC" w:sz="1"/>
              <w:right w:val="single" w:color="CCCCCC" w:sz="1"/>
            </w:tcBorders>
            <w:shd w:fill="FFFFFF" w:val="clear"/>
          </w:tcPr>
          <w:p>
            <w:pPr>
              <w:spacing w:after="60" w:before="60"/>
            </w:pPr>
            <w:r>
              <w:rPr>
                <w:b w:val="false"/>
                <w:bCs w:val="false"/>
                <w:i w:val="false"/>
                <w:iCs w:val="false"/>
                <w:sz w:val="21"/>
                <w:szCs w:val="21"/>
              </w:rPr>
              <w:t xml:space="preserve">[VERIFIED DATASET FACT] Signal Strength correlates with throughput at r = −0.4838 (r² ≈ 0.23) and with latency at r = +0.5036 (r² ≈ 0.25). The corresponding squared correlations indicate moderate association rather than a complete explanation of performance variation.</w:t>
            </w:r>
          </w:p>
          <w:p>
            <w:pPr>
              <w:spacing w:after="60" w:before="60"/>
            </w:pPr>
            <w:r>
              <w:rPr>
                <w:b w:val="false"/>
                <w:bCs w:val="false"/>
                <w:i w:val="false"/>
                <w:iCs w:val="false"/>
                <w:sz w:val="21"/>
                <w:szCs w:val="21"/>
              </w:rPr>
              <w:t xml:space="preserve">Correlations describe observed relationships and do NOT establish causation. Signal coverage alone does not determine performance — network type, congestion, architecture, and spectrum also play significant roles.</w:t>
            </w:r>
          </w:p>
          <w:p>
            <w:pPr>
              <w:spacing w:after="60" w:before="60"/>
            </w:pPr>
            <w:r>
              <w:rPr>
                <w:b w:val="false"/>
                <w:bCs w:val="false"/>
                <w:i w:val="false"/>
                <w:iCs w:val="false"/>
                <w:sz w:val="21"/>
                <w:szCs w:val="21"/>
              </w:rPr>
              <w:t xml:space="preserve">[LIMITATION] Signal Quality = 0% for all 16,829 records (uniform-value data collection limitation).</w:t>
            </w:r>
          </w:p>
          <w:p>
            <w:pPr>
              <w:spacing w:after="60" w:before="60"/>
            </w:pPr>
            <w:r>
              <w:rPr>
                <w:b/>
                <w:bCs/>
                <w:i w:val="false"/>
                <w:iCs w:val="false"/>
                <w:sz w:val="21"/>
                <w:szCs w:val="21"/>
              </w:rPr>
              <w:t xml:space="preserve">Confidence: HIGH for correlation values.</w:t>
            </w:r>
          </w:p>
        </w:tc>
      </w:tr>
    </w:tbl>
    <w:p>
      <w:pPr>
        <w:spacing w:after="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dxa" w:w="9360"/>
            <w:gridSpan w:val="1"/>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SIGNAL 5: Network Technology Type Shows Substantially Greater Observed Performance Differences Than Locality</w:t>
            </w:r>
          </w:p>
        </w:tc>
      </w:tr>
      <w:tr>
        <w:tc>
          <w:tcPr>
            <w:tcBorders>
              <w:top w:val="single" w:color="CCCCCC" w:sz="1"/>
              <w:left w:val="single" w:color="CCCCCC" w:sz="1"/>
              <w:bottom w:val="single" w:color="CCCCCC" w:sz="1"/>
              <w:right w:val="single" w:color="CCCCCC" w:sz="1"/>
            </w:tcBorders>
            <w:shd w:fill="FFFFFF" w:val="clear"/>
          </w:tcPr>
          <w:p>
            <w:pPr>
              <w:spacing w:after="60" w:before="60"/>
            </w:pPr>
            <w:r>
              <w:rPr>
                <w:b w:val="false"/>
                <w:bCs w:val="false"/>
                <w:i w:val="false"/>
                <w:iCs w:val="false"/>
                <w:sz w:val="21"/>
                <w:szCs w:val="21"/>
              </w:rPr>
              <w:t xml:space="preserve">[VERIFIED DATASET FACT] Observed ~48 Mbps technology-type difference (5G vs. 4G) versus observed ~3 Mbps locality difference (Rajendra Nagar 17.66 vs. Danapur 14.65 Mbps) yields a ~16:1 ratio.</w:t>
            </w:r>
          </w:p>
          <w:p>
            <w:pPr>
              <w:spacing w:after="60" w:before="60"/>
            </w:pPr>
            <w:r>
              <w:rPr>
                <w:b w:val="false"/>
                <w:bCs w:val="false"/>
                <w:i w:val="false"/>
                <w:iCs w:val="false"/>
                <w:sz w:val="21"/>
                <w:szCs w:val="21"/>
              </w:rPr>
              <w:t xml:space="preserve">Network technology type is the strongest observed source of performance differentiation in this dataset. These are observed descriptive differences, not causal effects.</w:t>
            </w:r>
          </w:p>
          <w:p>
            <w:pPr>
              <w:spacing w:after="60" w:before="60"/>
            </w:pPr>
            <w:r>
              <w:rPr>
                <w:b w:val="false"/>
                <w:bCs w:val="false"/>
                <w:i w:val="false"/>
                <w:iCs w:val="false"/>
                <w:sz w:val="21"/>
                <w:szCs w:val="21"/>
              </w:rPr>
              <w:t xml:space="preserve">[EXTERNAL RESEARCH SIGNAL] Industry consensus from Ericsson, GSMA, and Ookla confirms that generational technology transitions deliver order-of-magnitude performance improvements.</w:t>
            </w:r>
          </w:p>
          <w:p>
            <w:pPr>
              <w:spacing w:after="60" w:before="60"/>
            </w:pPr>
            <w:r>
              <w:rPr>
                <w:b/>
                <w:bCs/>
                <w:i w:val="false"/>
                <w:iCs w:val="false"/>
                <w:sz w:val="21"/>
                <w:szCs w:val="21"/>
              </w:rPr>
              <w:t xml:space="preserve">Confidence: HIGH for descriptive pattern.</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11. Enterprise and Technology Implications</w:t>
      </w:r>
    </w:p>
    <w:p>
      <w:pPr>
        <w:spacing w:after="120" w:before="0" w:line="276"/>
        <w:jc w:val="left"/>
      </w:pPr>
      <w:r>
        <w:rPr>
          <w:rFonts w:ascii="Arial" w:cs="Arial" w:eastAsia="Arial" w:hAnsi="Arial"/>
          <w:b w:val="false"/>
          <w:bCs w:val="false"/>
          <w:i w:val="false"/>
          <w:iCs w:val="false"/>
          <w:color w:val="000000"/>
          <w:sz w:val="22"/>
          <w:szCs w:val="22"/>
        </w:rPr>
        <w:t xml:space="preserve">The following implications are framed as investigation areas for technology leadership. They are NOT proven commercial opportunities. Application implications are presented as [EXTERNAL RESEARCH SIGNAL] contextual signals, not dataset-proven conclusions.</w:t>
      </w:r>
    </w:p>
    <w:p>
      <w:pPr>
        <w:pStyle w:val="Heading2"/>
        <w:spacing w:after="80" w:before="240"/>
      </w:pPr>
      <w:r>
        <w:rPr>
          <w:rFonts w:ascii="Arial" w:cs="Arial" w:eastAsia="Arial" w:hAnsi="Arial"/>
          <w:b/>
          <w:bCs/>
          <w:color w:val="2E6DA4"/>
          <w:sz w:val="26"/>
          <w:szCs w:val="26"/>
        </w:rPr>
        <w:t xml:space="preserve">1. 5G Performance Optimization Investigation</w:t>
      </w:r>
    </w:p>
    <w:p>
      <w:pPr>
        <w:spacing w:after="120" w:before="0" w:line="276"/>
        <w:jc w:val="left"/>
      </w:pPr>
      <w:r>
        <w:rPr>
          <w:rFonts w:ascii="Arial" w:cs="Arial" w:eastAsia="Arial" w:hAnsi="Arial"/>
          <w:b w:val="false"/>
          <w:bCs w:val="false"/>
          <w:i w:val="false"/>
          <w:iCs w:val="false"/>
          <w:color w:val="000000"/>
          <w:sz w:val="22"/>
          <w:szCs w:val="22"/>
        </w:rPr>
        <w:t xml:space="preserve">The observed gap between 54.58 Mbps and global benchmarks (200+ Mbps) warrants investigation into deployment maturity, SA architecture migration, and spectrum allocation. [EXTERNAL RESEARCH SIGNAL] SA networks deliver a 52% speed premium over NSA (Ookla 2026). India achieved 49.2% SA sample share by Q4 2025.</w:t>
      </w:r>
    </w:p>
    <w:p>
      <w:pPr>
        <w:pStyle w:val="Heading2"/>
        <w:spacing w:after="80" w:before="240"/>
      </w:pPr>
      <w:r>
        <w:rPr>
          <w:rFonts w:ascii="Arial" w:cs="Arial" w:eastAsia="Arial" w:hAnsi="Arial"/>
          <w:b/>
          <w:bCs/>
          <w:color w:val="2E6DA4"/>
          <w:sz w:val="26"/>
          <w:szCs w:val="26"/>
        </w:rPr>
        <w:t xml:space="preserve">2. Network Coverage and Signal Optimization</w:t>
      </w:r>
    </w:p>
    <w:p>
      <w:pPr>
        <w:spacing w:after="120" w:before="0" w:line="276"/>
        <w:jc w:val="left"/>
      </w:pPr>
      <w:r>
        <w:rPr>
          <w:rFonts w:ascii="Arial" w:cs="Arial" w:eastAsia="Arial" w:hAnsi="Arial"/>
          <w:b w:val="false"/>
          <w:bCs w:val="false"/>
          <w:i w:val="false"/>
          <w:iCs w:val="false"/>
          <w:color w:val="000000"/>
          <w:sz w:val="22"/>
          <w:szCs w:val="22"/>
        </w:rPr>
        <w:t xml:space="preserve">The moderate signal-performance associations (r² ≈ 0.23–0.25) suggest that signal coverage alone is insufficient for performance optimization. A multi-factor approach addressing capacity, spectrum, architecture, and interference should be investigated.</w:t>
      </w:r>
    </w:p>
    <w:p>
      <w:pPr>
        <w:pStyle w:val="Heading2"/>
        <w:spacing w:after="80" w:before="240"/>
      </w:pPr>
      <w:r>
        <w:rPr>
          <w:rFonts w:ascii="Arial" w:cs="Arial" w:eastAsia="Arial" w:hAnsi="Arial"/>
          <w:b/>
          <w:bCs/>
          <w:color w:val="2E6DA4"/>
          <w:sz w:val="26"/>
          <w:szCs w:val="26"/>
        </w:rPr>
        <w:t xml:space="preserve">3. Low-Latency Application Readiness Investigation</w:t>
      </w:r>
    </w:p>
    <w:p>
      <w:pPr>
        <w:spacing w:after="120" w:before="0" w:line="276"/>
        <w:jc w:val="left"/>
      </w:pPr>
      <w:r>
        <w:rPr>
          <w:rFonts w:ascii="Arial" w:cs="Arial" w:eastAsia="Arial" w:hAnsi="Arial"/>
          <w:b w:val="false"/>
          <w:bCs w:val="false"/>
          <w:i w:val="false"/>
          <w:iCs w:val="false"/>
          <w:color w:val="000000"/>
          <w:sz w:val="22"/>
          <w:szCs w:val="22"/>
        </w:rPr>
        <w:t xml:space="preserve">The observed 5G latency of 29.86 ms supports eMBB-class applications. For applications requiring sub-10 ms or sub-1 ms, SA architecture and edge-computing approaches should be investigated where ultra-low-latency requirements apply. [EXTERNAL RESEARCH SIGNAL] Nokia MEC research identifies edge computing as essential for sub-10 ms end-to-end latency.</w:t>
      </w:r>
    </w:p>
    <w:p>
      <w:pPr>
        <w:pStyle w:val="Heading2"/>
        <w:spacing w:after="80" w:before="240"/>
      </w:pPr>
      <w:r>
        <w:rPr>
          <w:rFonts w:ascii="Arial" w:cs="Arial" w:eastAsia="Arial" w:hAnsi="Arial"/>
          <w:b/>
          <w:bCs/>
          <w:color w:val="2E6DA4"/>
          <w:sz w:val="26"/>
          <w:szCs w:val="26"/>
        </w:rPr>
        <w:t xml:space="preserve">4. Enterprise Connectivity Investigation</w:t>
      </w:r>
    </w:p>
    <w:p>
      <w:pPr>
        <w:spacing w:after="120" w:before="0" w:line="276"/>
        <w:jc w:val="left"/>
      </w:pPr>
      <w:r>
        <w:rPr>
          <w:rFonts w:ascii="Arial" w:cs="Arial" w:eastAsia="Arial" w:hAnsi="Arial"/>
          <w:b w:val="false"/>
          <w:bCs w:val="false"/>
          <w:i w:val="false"/>
          <w:iCs w:val="false"/>
          <w:color w:val="000000"/>
          <w:sz w:val="22"/>
          <w:szCs w:val="22"/>
        </w:rPr>
        <w:t xml:space="preserve">The observed 5G performance profile (54.58 Mbps / 29.86 ms) substantially exceeds legacy technologies in this dataset. [EXTERNAL RESEARCH SIGNAL] Enterprise 5G applications including cloud computing, remote operations, and high-throughput data transfer may benefit from this performance tier where 5G connectivity is available.</w:t>
      </w:r>
    </w:p>
    <w:p>
      <w:pPr>
        <w:pStyle w:val="Heading2"/>
        <w:spacing w:after="80" w:before="240"/>
      </w:pPr>
      <w:r>
        <w:rPr>
          <w:rFonts w:ascii="Arial" w:cs="Arial" w:eastAsia="Arial" w:hAnsi="Arial"/>
          <w:b/>
          <w:bCs/>
          <w:color w:val="2E6DA4"/>
          <w:sz w:val="26"/>
          <w:szCs w:val="26"/>
        </w:rPr>
        <w:t xml:space="preserve">5. Industrial IoT and Edge Computing Investigation</w:t>
      </w:r>
    </w:p>
    <w:p>
      <w:pPr>
        <w:spacing w:after="120" w:before="0" w:line="276"/>
        <w:jc w:val="left"/>
      </w:pPr>
      <w:r>
        <w:rPr>
          <w:rFonts w:ascii="Arial" w:cs="Arial" w:eastAsia="Arial" w:hAnsi="Arial"/>
          <w:b w:val="false"/>
          <w:bCs w:val="false"/>
          <w:i w:val="false"/>
          <w:iCs w:val="false"/>
          <w:color w:val="000000"/>
          <w:sz w:val="22"/>
          <w:szCs w:val="22"/>
        </w:rPr>
        <w:t xml:space="preserve">[EXTERNAL RESEARCH SIGNAL] The combination of 5G connectivity with edge computing infrastructure enables investigation of new industrial application categories. The observed 5G throughput supports high-volume IoT data collection; the observed latency requires edge computing investigation for real-time control applications.</w:t>
      </w:r>
    </w:p>
    <w:p>
      <w:pPr>
        <w:pStyle w:val="Heading2"/>
        <w:spacing w:after="80" w:before="240"/>
      </w:pPr>
      <w:r>
        <w:rPr>
          <w:rFonts w:ascii="Arial" w:cs="Arial" w:eastAsia="Arial" w:hAnsi="Arial"/>
          <w:b/>
          <w:bCs/>
          <w:color w:val="2E6DA4"/>
          <w:sz w:val="26"/>
          <w:szCs w:val="26"/>
        </w:rPr>
        <w:t xml:space="preserve">6. Network Automation Investigation</w:t>
      </w:r>
    </w:p>
    <w:p>
      <w:pPr>
        <w:spacing w:after="120" w:before="0" w:line="276"/>
        <w:jc w:val="left"/>
      </w:pPr>
      <w:r>
        <w:rPr>
          <w:rFonts w:ascii="Arial" w:cs="Arial" w:eastAsia="Arial" w:hAnsi="Arial"/>
          <w:b w:val="false"/>
          <w:bCs w:val="false"/>
          <w:i w:val="false"/>
          <w:iCs w:val="false"/>
          <w:color w:val="000000"/>
          <w:sz w:val="22"/>
          <w:szCs w:val="22"/>
        </w:rPr>
        <w:t xml:space="preserve">[EXTERNAL RESEARCH SIGNAL] Ericsson and SoftBank Japan commercial AI-native RAN trial reported up to 25% spectral efficiency gains and up to 50% downlink user throughput improvement. Whether AI-native optimization could improve upon the observed performance levels is not testable with this dataset.</w:t>
      </w:r>
    </w:p>
    <w:p>
      <w:pPr>
        <w:pStyle w:val="Heading1"/>
        <w:spacing w:after="120" w:before="360"/>
      </w:pPr>
      <w:r>
        <w:rPr>
          <w:rFonts w:ascii="Arial" w:cs="Arial" w:eastAsia="Arial" w:hAnsi="Arial"/>
          <w:b/>
          <w:bCs/>
          <w:color w:val="1F3864"/>
          <w:sz w:val="32"/>
          <w:szCs w:val="32"/>
        </w:rPr>
        <w:t xml:space="preserve">12. Private 5G Investigation</w:t>
      </w:r>
    </w:p>
    <w:p>
      <w:pPr>
        <w:spacing w:after="120" w:before="0" w:line="276"/>
        <w:jc w:val="left"/>
      </w:pPr>
      <w:r>
        <w:rPr>
          <w:rFonts w:ascii="Arial" w:cs="Arial" w:eastAsia="Arial" w:hAnsi="Arial"/>
          <w:b w:val="false"/>
          <w:bCs w:val="false"/>
          <w:i w:val="false"/>
          <w:iCs w:val="false"/>
          <w:color w:val="000000"/>
          <w:sz w:val="22"/>
          <w:szCs w:val="22"/>
        </w:rPr>
        <w:t xml:space="preserve">The observed 5G performance characteristics (54.58 Mbps mean throughput, 29.86 ms mean latency) substantially exceed the legacy technology performance observed in this dataset. These findings support further investigation of private 5G suitability for bandwidth-intensive enterprise applications.</w:t>
      </w:r>
    </w:p>
    <w:p>
      <w:pPr>
        <w:spacing w:after="80" w:before="0" w:line="276"/>
        <w:jc w:val="left"/>
      </w:pPr>
      <w:r>
        <w:rPr>
          <w:rFonts w:ascii="Arial" w:cs="Arial" w:eastAsia="Arial" w:hAnsi="Arial"/>
          <w:b w:val="false"/>
          <w:bCs w:val="false"/>
          <w:i w:val="false"/>
          <w:iCs w:val="false"/>
          <w:color w:val="000000"/>
          <w:sz w:val="22"/>
          <w:szCs w:val="22"/>
        </w:rPr>
        <w:t xml:space="preserve">[EXTERNAL RESEARCH SIGNAL] The global private 5G market context provides additional context for this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4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External Research Signal</w:t>
            </w:r>
          </w:p>
        </w:tc>
        <w:tc>
          <w:tcPr>
            <w:tcW w:type="dxa" w:w="390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Source</w:t>
            </w:r>
          </w:p>
        </w:tc>
      </w:tr>
      <w:tr>
        <w:tc>
          <w:tcPr>
            <w:tcW w:type="dxa" w:w="54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~6,500 private 5G deployments globally by end of 2025</w:t>
            </w:r>
          </w:p>
        </w:tc>
        <w:tc>
          <w:tcPr>
            <w:tcW w:type="dxa" w:w="39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Berg Insight / ComputerWeekly (https://www.computerweekly.com/news/366638797/Private-LTE-5G-networks-reached-6500-deployments-in-2025)</w:t>
            </w:r>
          </w:p>
        </w:tc>
      </w:tr>
      <w:tr>
        <w:tc>
          <w:tcPr>
            <w:tcW w:type="dxa" w:w="546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84 commercial 5G SA network slicing offerings</w:t>
            </w:r>
          </w:p>
        </w:tc>
        <w:tc>
          <w:tcPr>
            <w:tcW w:type="dxa" w:w="3900"/>
            <w:tcBorders>
              <w:top w:val="single" w:color="CCCCCC" w:sz="1"/>
              <w:left w:val="single" w:color="CCCCCC" w:sz="1"/>
              <w:bottom w:val="single" w:color="CCCCCC" w:sz="1"/>
              <w:right w:val="single" w:color="CCCCCC" w:sz="1"/>
            </w:tcBorders>
            <w:shd w:fill="F5F8FC" w:val="clear"/>
          </w:tcPr>
          <w:p>
            <w:pPr>
              <w:spacing w:after="60" w:before="60"/>
              <w:jc w:val="left"/>
            </w:pPr>
            <w:r>
              <w:rPr>
                <w:b w:val="false"/>
                <w:bCs w:val="false"/>
                <w:color w:val="000000"/>
                <w:sz w:val="20"/>
                <w:szCs w:val="20"/>
              </w:rPr>
              <w:t xml:space="preserve">Ericsson Mobility Report, June 2026 (https://www.ericsson.com/en/reports-and-papers/mobility-report/articles/service-packaging-differentiated-connectivity-june-2026)</w:t>
            </w:r>
          </w:p>
        </w:tc>
      </w:tr>
      <w:tr>
        <w:tc>
          <w:tcPr>
            <w:tcW w:type="dxa" w:w="54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Airbus and Lufthansa deployed private 5G for AR, simulation, predictive maintenance</w:t>
            </w:r>
          </w:p>
        </w:tc>
        <w:tc>
          <w:tcPr>
            <w:tcW w:type="dxa" w:w="39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Ericsson, October 2025 case studies</w:t>
            </w:r>
          </w:p>
        </w:tc>
      </w:tr>
    </w:tbl>
    <w:p>
      <w:pPr>
        <w:spacing w:after="8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FFF3E6" w:val="clear"/>
          </w:tcPr>
          <w:p>
            <w:pPr>
              <w:spacing w:after="80" w:before="80"/>
            </w:pPr>
            <w:r>
              <w:rPr>
                <w:i/>
                <w:iCs/>
                <w:sz w:val="19"/>
                <w:szCs w:val="19"/>
              </w:rPr>
              <w:t xml:space="preserve">SCOPE BOUNDARY — PRIVATE 5G: IMPORTANT: This dataset does NOT contain private network measurements. The dataset does NOT prove that private 5G investment is justified, that ROI is achievable, or that a commercial opportunity exists. No private versus public network distinction can be made from this dataset. All private 5G observations above are external research signals provided for context only.</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13. Risks and Unknowns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Risk / Unknown</w:t>
            </w:r>
          </w:p>
        </w:tc>
        <w:tc>
          <w:tcPr>
            <w:tcW w:type="dxa" w:w="260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Constraint</w:t>
            </w:r>
          </w:p>
        </w:tc>
        <w:tc>
          <w:tcPr>
            <w:tcW w:type="dxa" w:w="36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Impact on Analysis</w:t>
            </w:r>
          </w:p>
        </w:tc>
      </w:tr>
      <w:tr>
        <w:tc>
          <w:tcPr>
            <w:tcW w:type="dxa" w:w="52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0F7FF" w:val="clear"/>
          </w:tcPr>
          <w:p>
            <w:pPr>
              <w:spacing w:after="60" w:before="60"/>
              <w:jc w:val="left"/>
            </w:pPr>
            <w:r>
              <w:rPr>
                <w:b/>
                <w:bCs/>
                <w:color w:val="000000"/>
                <w:sz w:val="20"/>
                <w:szCs w:val="20"/>
              </w:rPr>
              <w:t xml:space="preserve">Single-city scope</w:t>
            </w:r>
          </w:p>
        </w:tc>
        <w:tc>
          <w:tcPr>
            <w:tcW w:type="dxa" w:w="2600"/>
            <w:tcBorders>
              <w:top w:val="single" w:color="CCCCCC" w:sz="1"/>
              <w:left w:val="single" w:color="CCCCCC" w:sz="1"/>
              <w:bottom w:val="single" w:color="CCCCCC" w:sz="1"/>
              <w:right w:val="single" w:color="CCCCCC" w:sz="1"/>
            </w:tcBorders>
            <w:shd w:fill="F0F7FF" w:val="clear"/>
          </w:tcPr>
          <w:p>
            <w:pPr>
              <w:spacing w:after="60" w:before="60"/>
              <w:jc w:val="left"/>
            </w:pPr>
            <w:r>
              <w:rPr>
                <w:b w:val="false"/>
                <w:bCs w:val="false"/>
                <w:color w:val="000000"/>
                <w:sz w:val="20"/>
                <w:szCs w:val="20"/>
              </w:rPr>
              <w:t xml:space="preserve">Patna only</w:t>
            </w:r>
          </w:p>
        </w:tc>
        <w:tc>
          <w:tcPr>
            <w:tcW w:type="dxa" w:w="3640"/>
            <w:tcBorders>
              <w:top w:val="single" w:color="CCCCCC" w:sz="1"/>
              <w:left w:val="single" w:color="CCCCCC" w:sz="1"/>
              <w:bottom w:val="single" w:color="CCCCCC" w:sz="1"/>
              <w:right w:val="single" w:color="CCCCCC" w:sz="1"/>
            </w:tcBorders>
            <w:shd w:fill="F0F7FF" w:val="clear"/>
          </w:tcPr>
          <w:p>
            <w:pPr>
              <w:spacing w:after="60" w:before="60"/>
              <w:jc w:val="left"/>
            </w:pPr>
            <w:r>
              <w:rPr>
                <w:b w:val="false"/>
                <w:bCs w:val="false"/>
                <w:color w:val="000000"/>
                <w:sz w:val="20"/>
                <w:szCs w:val="20"/>
              </w:rPr>
              <w:t xml:space="preserve">Cannot generalize to other cities, countries, or markets</w:t>
            </w:r>
          </w:p>
        </w:tc>
      </w:tr>
      <w:tr>
        <w:tc>
          <w:tcPr>
            <w:tcW w:type="dxa" w:w="52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Limited time window</w:t>
            </w:r>
          </w:p>
        </w:tc>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37 days (May–June 2023)</w:t>
            </w:r>
          </w:p>
        </w:tc>
        <w:tc>
          <w:tcPr>
            <w:tcW w:type="dxa" w:w="36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Cannot assess seasonal trends, deployment maturation, or long-term patterns</w:t>
            </w:r>
          </w:p>
        </w:tc>
      </w:tr>
      <w:tr>
        <w:tc>
          <w:tcPr>
            <w:tcW w:type="dxa" w:w="52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bCs/>
                <w:color w:val="000000"/>
                <w:sz w:val="20"/>
                <w:szCs w:val="20"/>
              </w:rPr>
              <w:t xml:space="preserve">Signal Quality = 0%</w:t>
            </w:r>
          </w:p>
        </w:tc>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Uniform-value limitation</w:t>
            </w:r>
          </w:p>
        </w:tc>
        <w:tc>
          <w:tcPr>
            <w:tcW w:type="dxa" w:w="36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Cannot distinguish coverage-limited vs. interference-limited conditions</w:t>
            </w:r>
          </w:p>
        </w:tc>
      </w:tr>
      <w:tr>
        <w:tc>
          <w:tcPr>
            <w:tcW w:type="dxa" w:w="52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3G SDR = 0.0</w:t>
            </w:r>
          </w:p>
        </w:tc>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4,208 records affected</w:t>
            </w:r>
          </w:p>
        </w:tc>
        <w:tc>
          <w:tcPr>
            <w:tcW w:type="dxa" w:w="36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No multi-instrument RF analysis for 3G technology</w:t>
            </w:r>
          </w:p>
        </w:tc>
      </w:tr>
      <w:tr>
        <w:tc>
          <w:tcPr>
            <w:tcW w:type="dxa" w:w="52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bCs/>
                <w:color w:val="000000"/>
                <w:sz w:val="20"/>
                <w:szCs w:val="20"/>
              </w:rPr>
              <w:t xml:space="preserve">No frequency-band metadata</w:t>
            </w:r>
          </w:p>
        </w:tc>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FR1/FR2 unknown</w:t>
            </w:r>
          </w:p>
        </w:tc>
        <w:tc>
          <w:tcPr>
            <w:tcW w:type="dxa" w:w="36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Cannot confirm sub-6 GHz vs. mmWave; cannot explain throughput gap</w:t>
            </w:r>
          </w:p>
        </w:tc>
      </w:tr>
      <w:tr>
        <w:tc>
          <w:tcPr>
            <w:tcW w:type="dxa" w:w="52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No NSA/SA metadata</w:t>
            </w:r>
          </w:p>
        </w:tc>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Architecture unknown</w:t>
            </w:r>
          </w:p>
        </w:tc>
        <w:tc>
          <w:tcPr>
            <w:tcW w:type="dxa" w:w="36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Cannot assess deployment architecture effects (52% SA speed premium per Ookla)</w:t>
            </w:r>
          </w:p>
        </w:tc>
      </w:tr>
      <w:tr>
        <w:tc>
          <w:tcPr>
            <w:tcW w:type="dxa" w:w="52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bCs/>
                <w:color w:val="000000"/>
                <w:sz w:val="20"/>
                <w:szCs w:val="20"/>
              </w:rPr>
              <w:t xml:space="preserve">No device information</w:t>
            </w:r>
          </w:p>
        </w:tc>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Device unknown</w:t>
            </w:r>
          </w:p>
        </w:tc>
        <w:tc>
          <w:tcPr>
            <w:tcW w:type="dxa" w:w="36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Cannot isolate device capability effects from network effects</w:t>
            </w:r>
          </w:p>
        </w:tc>
      </w:tr>
      <w:tr>
        <w:tc>
          <w:tcPr>
            <w:tcW w:type="dxa" w:w="52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No subscriber-load data</w:t>
            </w:r>
          </w:p>
        </w:tc>
        <w:tc>
          <w:tcPr>
            <w:tcW w:type="dxa" w:w="260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Load unknown</w:t>
            </w:r>
          </w:p>
        </w:tc>
        <w:tc>
          <w:tcPr>
            <w:tcW w:type="dxa" w:w="36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Cannot assess network congestion vs. coverage effects</w:t>
            </w:r>
          </w:p>
        </w:tc>
      </w:tr>
      <w:tr>
        <w:tc>
          <w:tcPr>
            <w:tcW w:type="dxa" w:w="52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bCs/>
                <w:color w:val="000000"/>
                <w:sz w:val="20"/>
                <w:szCs w:val="20"/>
              </w:rPr>
              <w:t xml:space="preserve">No tower/cell identifiers</w:t>
            </w:r>
          </w:p>
        </w:tc>
        <w:tc>
          <w:tcPr>
            <w:tcW w:type="dxa" w:w="260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Cell-level unknown</w:t>
            </w:r>
          </w:p>
        </w:tc>
        <w:tc>
          <w:tcPr>
            <w:tcW w:type="dxa" w:w="36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Cannot perform distance-to-tower or cell-level performance modeling</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14. What Leadership Should NOT Conclude</w:t>
      </w:r>
    </w:p>
    <w:p>
      <w:pPr>
        <w:spacing w:after="100" w:before="0" w:line="276"/>
        <w:jc w:val="left"/>
      </w:pPr>
      <w:r>
        <w:rPr>
          <w:rFonts w:ascii="Arial" w:cs="Arial" w:eastAsia="Arial" w:hAnsi="Arial"/>
          <w:b w:val="false"/>
          <w:bCs w:val="false"/>
          <w:i w:val="false"/>
          <w:iCs w:val="false"/>
          <w:color w:val="000000"/>
          <w:sz w:val="22"/>
          <w:szCs w:val="22"/>
        </w:rPr>
        <w:t xml:space="preserve">The following explicit non-conclusions protect against over-interpretation of the dataset evidence:</w:t>
      </w:r>
    </w:p>
    <w:p>
      <w:pPr>
        <w:pStyle w:val="ListParagraph"/>
        <w:numPr>
          <w:ilvl w:val="0"/>
          <w:numId w:val="2"/>
        </w:numPr>
        <w:spacing w:after="40" w:before="40"/>
      </w:pPr>
      <w:r>
        <w:rPr>
          <w:rFonts w:ascii="Arial" w:cs="Arial" w:eastAsia="Arial" w:hAnsi="Arial"/>
          <w:sz w:val="22"/>
          <w:szCs w:val="22"/>
        </w:rPr>
        <w:t xml:space="preserve">This dataset does NOT prove the causal superiority of 5G over legacy technologies. The observed performance differences are descriptive associations, not causal effects.</w:t>
      </w:r>
    </w:p>
    <w:p>
      <w:pPr>
        <w:pStyle w:val="ListParagraph"/>
        <w:numPr>
          <w:ilvl w:val="0"/>
          <w:numId w:val="2"/>
        </w:numPr>
        <w:spacing w:after="40" w:before="40"/>
      </w:pPr>
      <w:r>
        <w:rPr>
          <w:rFonts w:ascii="Arial" w:cs="Arial" w:eastAsia="Arial" w:hAnsi="Arial"/>
          <w:sz w:val="22"/>
          <w:szCs w:val="22"/>
        </w:rPr>
        <w:t xml:space="preserve">This dataset does NOT characterize global or national 5G performance. Findings are specific to 20 Patna localities over 37 days in 2023.</w:t>
      </w:r>
    </w:p>
    <w:p>
      <w:pPr>
        <w:pStyle w:val="ListParagraph"/>
        <w:numPr>
          <w:ilvl w:val="0"/>
          <w:numId w:val="2"/>
        </w:numPr>
        <w:spacing w:after="40" w:before="40"/>
      </w:pPr>
      <w:r>
        <w:rPr>
          <w:rFonts w:ascii="Arial" w:cs="Arial" w:eastAsia="Arial" w:hAnsi="Arial"/>
          <w:sz w:val="22"/>
          <w:szCs w:val="22"/>
        </w:rPr>
        <w:t xml:space="preserve">Higher observed throughput does NOT automatically prove better customer experience, network capacity, or service quality.</w:t>
      </w:r>
    </w:p>
    <w:p>
      <w:pPr>
        <w:pStyle w:val="ListParagraph"/>
        <w:numPr>
          <w:ilvl w:val="0"/>
          <w:numId w:val="2"/>
        </w:numPr>
        <w:spacing w:after="40" w:before="40"/>
      </w:pPr>
      <w:r>
        <w:rPr>
          <w:rFonts w:ascii="Arial" w:cs="Arial" w:eastAsia="Arial" w:hAnsi="Arial"/>
          <w:sz w:val="22"/>
          <w:szCs w:val="22"/>
        </w:rPr>
        <w:t xml:space="preserve">Locality-level differences (Rajendra Nagar vs. Danapur) do NOT prove infrastructure problems, coverage gaps, or congestion. Additional data is required to investigate causes.</w:t>
      </w:r>
    </w:p>
    <w:p>
      <w:pPr>
        <w:pStyle w:val="ListParagraph"/>
        <w:numPr>
          <w:ilvl w:val="0"/>
          <w:numId w:val="2"/>
        </w:numPr>
        <w:spacing w:after="40" w:before="40"/>
      </w:pPr>
      <w:r>
        <w:rPr>
          <w:rFonts w:ascii="Arial" w:cs="Arial" w:eastAsia="Arial" w:hAnsi="Arial"/>
          <w:sz w:val="22"/>
          <w:szCs w:val="22"/>
        </w:rPr>
        <w:t xml:space="preserve">The observed 5G throughput gap vs. benchmarks does NOT identify the specific cause. Architecture, spectrum, load, measurement conditions, or other factors may contribute.</w:t>
      </w:r>
    </w:p>
    <w:p>
      <w:pPr>
        <w:pStyle w:val="ListParagraph"/>
        <w:numPr>
          <w:ilvl w:val="0"/>
          <w:numId w:val="2"/>
        </w:numPr>
        <w:spacing w:after="40" w:before="40"/>
      </w:pPr>
      <w:r>
        <w:rPr>
          <w:rFonts w:ascii="Arial" w:cs="Arial" w:eastAsia="Arial" w:hAnsi="Arial"/>
          <w:sz w:val="22"/>
          <w:szCs w:val="22"/>
        </w:rPr>
        <w:t xml:space="preserve">This dataset does NOT provide market share, revenue, subscriber count, or competitive positioning intelligence.</w:t>
      </w:r>
    </w:p>
    <w:p>
      <w:pPr>
        <w:pStyle w:val="ListParagraph"/>
        <w:numPr>
          <w:ilvl w:val="0"/>
          <w:numId w:val="2"/>
        </w:numPr>
        <w:spacing w:after="40" w:before="40"/>
      </w:pPr>
      <w:r>
        <w:rPr>
          <w:rFonts w:ascii="Arial" w:cs="Arial" w:eastAsia="Arial" w:hAnsi="Arial"/>
          <w:sz w:val="22"/>
          <w:szCs w:val="22"/>
        </w:rPr>
        <w:t xml:space="preserve">The near-identical 3G and LTE performance does NOT prove that LTE offers no improvement over 3G in general.</w:t>
      </w:r>
    </w:p>
    <w:p>
      <w:pPr>
        <w:pStyle w:val="ListParagraph"/>
        <w:numPr>
          <w:ilvl w:val="0"/>
          <w:numId w:val="2"/>
        </w:numPr>
        <w:spacing w:after="40" w:before="40"/>
      </w:pPr>
      <w:r>
        <w:rPr>
          <w:rFonts w:ascii="Arial" w:cs="Arial" w:eastAsia="Arial" w:hAnsi="Arial"/>
          <w:sz w:val="22"/>
          <w:szCs w:val="22"/>
        </w:rPr>
        <w:t xml:space="preserve">Signal Quality = 0% does NOT indicate poor signal quality. It indicates a uniform-value data collection limitation.</w:t>
      </w:r>
    </w:p>
    <w:p>
      <w:pPr>
        <w:pStyle w:val="ListParagraph"/>
        <w:numPr>
          <w:ilvl w:val="0"/>
          <w:numId w:val="2"/>
        </w:numPr>
        <w:spacing w:after="40" w:before="40"/>
      </w:pPr>
      <w:r>
        <w:rPr>
          <w:rFonts w:ascii="Arial" w:cs="Arial" w:eastAsia="Arial" w:hAnsi="Arial"/>
          <w:sz w:val="22"/>
          <w:szCs w:val="22"/>
        </w:rPr>
        <w:t xml:space="preserve">These findings do NOT constitute an investment justification for network upgrades, private 5G, or any commercial deployment.</w:t>
      </w:r>
    </w:p>
    <w:p>
      <w:pPr>
        <w:pStyle w:val="ListParagraph"/>
        <w:numPr>
          <w:ilvl w:val="0"/>
          <w:numId w:val="2"/>
        </w:numPr>
        <w:spacing w:after="40" w:before="40"/>
      </w:pPr>
      <w:r>
        <w:rPr>
          <w:rFonts w:ascii="Arial" w:cs="Arial" w:eastAsia="Arial" w:hAnsi="Arial"/>
          <w:sz w:val="22"/>
          <w:szCs w:val="22"/>
        </w:rPr>
        <w:t xml:space="preserve">External market forecasts cited in this document are NOT derived from or validated by this dataset.</w:t>
      </w:r>
    </w:p>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15. Priority Further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8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Rank</w:t>
            </w:r>
          </w:p>
        </w:tc>
        <w:tc>
          <w:tcPr>
            <w:tcW w:type="dxa" w:w="312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Research Priority</w:t>
            </w:r>
          </w:p>
        </w:tc>
        <w:tc>
          <w:tcPr>
            <w:tcW w:type="dxa" w:w="546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Rationale</w:t>
            </w:r>
          </w:p>
        </w:tc>
      </w:tr>
      <w:tr>
        <w:tc>
          <w:tcPr>
            <w:tcW w:type="dxa" w:w="780"/>
            <w:tcBorders>
              <w:top w:val="single" w:color="CCCCCC" w:sz="1"/>
              <w:left w:val="single" w:color="CCCCCC" w:sz="1"/>
              <w:bottom w:val="single" w:color="CCCCCC" w:sz="1"/>
              <w:right w:val="single" w:color="CCCCCC" w:sz="1"/>
            </w:tcBorders>
            <w:shd w:fill="F0F7FF" w:val="clear"/>
          </w:tcPr>
          <w:p>
            <w:pPr>
              <w:spacing w:after="60" w:before="60"/>
              <w:jc w:val="center"/>
            </w:pPr>
            <w:r>
              <w:rPr>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0F7FF" w:val="clear"/>
          </w:tcPr>
          <w:p>
            <w:pPr>
              <w:spacing w:after="60" w:before="60"/>
              <w:jc w:val="left"/>
            </w:pPr>
            <w:r>
              <w:rPr>
                <w:b/>
                <w:bCs/>
                <w:color w:val="000000"/>
                <w:sz w:val="20"/>
                <w:szCs w:val="20"/>
              </w:rPr>
              <w:t xml:space="preserve">Frequency-Band Analysis</w:t>
            </w:r>
          </w:p>
        </w:tc>
        <w:tc>
          <w:tcPr>
            <w:tcW w:type="dxa" w:w="5460"/>
            <w:tcBorders>
              <w:top w:val="single" w:color="CCCCCC" w:sz="1"/>
              <w:left w:val="single" w:color="CCCCCC" w:sz="1"/>
              <w:bottom w:val="single" w:color="CCCCCC" w:sz="1"/>
              <w:right w:val="single" w:color="CCCCCC" w:sz="1"/>
            </w:tcBorders>
            <w:shd w:fill="F0F7FF" w:val="clear"/>
          </w:tcPr>
          <w:p>
            <w:pPr>
              <w:spacing w:after="60" w:before="60"/>
              <w:jc w:val="left"/>
            </w:pPr>
            <w:r>
              <w:rPr>
                <w:b w:val="false"/>
                <w:bCs w:val="false"/>
                <w:color w:val="000000"/>
                <w:sz w:val="20"/>
                <w:szCs w:val="20"/>
              </w:rPr>
              <w:t xml:space="preserve">Highest-value metadata addition; would directly explain the 54.58 Mbps vs. 200+ Mbps benchmark gap</w:t>
            </w:r>
          </w:p>
        </w:tc>
      </w:tr>
      <w:tr>
        <w:tc>
          <w:tcPr>
            <w:tcW w:type="dxa" w:w="78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NSA vs. SA Architecture Analysis</w:t>
            </w:r>
          </w:p>
        </w:tc>
        <w:tc>
          <w:tcPr>
            <w:tcW w:type="dxa" w:w="54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SA delivers 52% speed premium over NSA globally (Ookla 2026); would clarify architecture effects on observed performance</w:t>
            </w:r>
          </w:p>
        </w:tc>
      </w:tr>
      <w:tr>
        <w:tc>
          <w:tcPr>
            <w:tcW w:type="dxa" w:w="78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9F9F9" w:val="clear"/>
          </w:tcPr>
          <w:p>
            <w:pPr>
              <w:spacing w:after="60" w:before="60"/>
              <w:jc w:val="left"/>
            </w:pPr>
            <w:r>
              <w:rPr>
                <w:b/>
                <w:bCs/>
                <w:color w:val="000000"/>
                <w:sz w:val="20"/>
                <w:szCs w:val="20"/>
              </w:rPr>
              <w:t xml:space="preserve">Subscriber-Load Analysis</w:t>
            </w:r>
          </w:p>
        </w:tc>
        <w:tc>
          <w:tcPr>
            <w:tcW w:type="dxa" w:w="546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Would enable distinction between congestion-limited and coverage-limited conditions</w:t>
            </w:r>
          </w:p>
        </w:tc>
      </w:tr>
      <w:tr>
        <w:tc>
          <w:tcPr>
            <w:tcW w:type="dxa" w:w="78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Cell/Tower-Level Analysis</w:t>
            </w:r>
          </w:p>
        </w:tc>
        <w:tc>
          <w:tcPr>
            <w:tcW w:type="dxa" w:w="54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Would enable distance-to-tower modeling and identification of cell-level performance variation</w:t>
            </w:r>
          </w:p>
        </w:tc>
      </w:tr>
      <w:tr>
        <w:tc>
          <w:tcPr>
            <w:tcW w:type="dxa" w:w="78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9F9F9" w:val="clear"/>
          </w:tcPr>
          <w:p>
            <w:pPr>
              <w:spacing w:after="60" w:before="60"/>
              <w:jc w:val="left"/>
            </w:pPr>
            <w:r>
              <w:rPr>
                <w:b/>
                <w:bCs/>
                <w:color w:val="000000"/>
                <w:sz w:val="20"/>
                <w:szCs w:val="20"/>
              </w:rPr>
              <w:t xml:space="preserve">Device-Level Analysis</w:t>
            </w:r>
          </w:p>
        </w:tc>
        <w:tc>
          <w:tcPr>
            <w:tcW w:type="dxa" w:w="546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Would isolate device capability effects from network performance effects</w:t>
            </w:r>
          </w:p>
        </w:tc>
      </w:tr>
      <w:tr>
        <w:tc>
          <w:tcPr>
            <w:tcW w:type="dxa" w:w="78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Time-of-Day Analysis</w:t>
            </w:r>
          </w:p>
        </w:tc>
        <w:tc>
          <w:tcPr>
            <w:tcW w:type="dxa" w:w="54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Would reveal peak vs. off-peak performance patterns and congestion dynamics</w:t>
            </w:r>
          </w:p>
        </w:tc>
      </w:tr>
      <w:tr>
        <w:tc>
          <w:tcPr>
            <w:tcW w:type="dxa" w:w="78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7</w:t>
            </w:r>
          </w:p>
        </w:tc>
        <w:tc>
          <w:tcPr>
            <w:tcW w:type="dxa" w:w="3120"/>
            <w:tcBorders>
              <w:top w:val="single" w:color="CCCCCC" w:sz="1"/>
              <w:left w:val="single" w:color="CCCCCC" w:sz="1"/>
              <w:bottom w:val="single" w:color="CCCCCC" w:sz="1"/>
              <w:right w:val="single" w:color="CCCCCC" w:sz="1"/>
            </w:tcBorders>
            <w:shd w:fill="F9F9F9" w:val="clear"/>
          </w:tcPr>
          <w:p>
            <w:pPr>
              <w:spacing w:after="60" w:before="60"/>
              <w:jc w:val="left"/>
            </w:pPr>
            <w:r>
              <w:rPr>
                <w:b/>
                <w:bCs/>
                <w:color w:val="000000"/>
                <w:sz w:val="20"/>
                <w:szCs w:val="20"/>
              </w:rPr>
              <w:t xml:space="preserve">Geographic Expansion</w:t>
            </w:r>
          </w:p>
        </w:tc>
        <w:tc>
          <w:tcPr>
            <w:tcW w:type="dxa" w:w="546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Multi-city dataset would test whether findings are specific to Patna or generalizable</w:t>
            </w:r>
          </w:p>
        </w:tc>
      </w:tr>
      <w:tr>
        <w:tc>
          <w:tcPr>
            <w:tcW w:type="dxa" w:w="780"/>
            <w:tcBorders>
              <w:top w:val="single" w:color="CCCCCC" w:sz="1"/>
              <w:left w:val="single" w:color="CCCCCC" w:sz="1"/>
              <w:bottom w:val="single" w:color="CCCCCC" w:sz="1"/>
              <w:right w:val="single" w:color="CCCCCC" w:sz="1"/>
            </w:tcBorders>
            <w:shd w:fill="FFFFFF" w:val="clear"/>
          </w:tcPr>
          <w:p>
            <w:pPr>
              <w:spacing w:after="60" w:before="60"/>
              <w:jc w:val="center"/>
            </w:pPr>
            <w:r>
              <w:rPr>
                <w:b w:val="false"/>
                <w:bCs w:val="false"/>
                <w:color w:val="000000"/>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b/>
                <w:bCs/>
                <w:color w:val="000000"/>
                <w:sz w:val="20"/>
                <w:szCs w:val="20"/>
              </w:rPr>
              <w:t xml:space="preserve">Larger Longitudinal Dataset (12+ months)</w:t>
            </w:r>
          </w:p>
        </w:tc>
        <w:tc>
          <w:tcPr>
            <w:tcW w:type="dxa" w:w="54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Would capture seasonal effects, deployment maturation, and SA migration impact</w:t>
            </w:r>
          </w:p>
        </w:tc>
      </w:tr>
      <w:tr>
        <w:tc>
          <w:tcPr>
            <w:tcW w:type="dxa" w:w="780"/>
            <w:tcBorders>
              <w:top w:val="single" w:color="CCCCCC" w:sz="1"/>
              <w:left w:val="single" w:color="CCCCCC" w:sz="1"/>
              <w:bottom w:val="single" w:color="CCCCCC" w:sz="1"/>
              <w:right w:val="single" w:color="CCCCCC" w:sz="1"/>
            </w:tcBorders>
            <w:shd w:fill="F9F9F9" w:val="clear"/>
          </w:tcPr>
          <w:p>
            <w:pPr>
              <w:spacing w:after="60" w:before="60"/>
              <w:jc w:val="center"/>
            </w:pPr>
            <w:r>
              <w:rPr>
                <w:b w:val="false"/>
                <w:bCs w:val="false"/>
                <w:color w:val="000000"/>
                <w:sz w:val="20"/>
                <w:szCs w:val="20"/>
              </w:rPr>
              <w:t xml:space="preserve">9</w:t>
            </w:r>
          </w:p>
        </w:tc>
        <w:tc>
          <w:tcPr>
            <w:tcW w:type="dxa" w:w="3120"/>
            <w:tcBorders>
              <w:top w:val="single" w:color="CCCCCC" w:sz="1"/>
              <w:left w:val="single" w:color="CCCCCC" w:sz="1"/>
              <w:bottom w:val="single" w:color="CCCCCC" w:sz="1"/>
              <w:right w:val="single" w:color="CCCCCC" w:sz="1"/>
            </w:tcBorders>
            <w:shd w:fill="F9F9F9" w:val="clear"/>
          </w:tcPr>
          <w:p>
            <w:pPr>
              <w:spacing w:after="60" w:before="60"/>
              <w:jc w:val="left"/>
            </w:pPr>
            <w:r>
              <w:rPr>
                <w:b/>
                <w:bCs/>
                <w:color w:val="000000"/>
                <w:sz w:val="20"/>
                <w:szCs w:val="20"/>
              </w:rPr>
              <w:t xml:space="preserve">Commercial Benchmark Normalization</w:t>
            </w:r>
          </w:p>
        </w:tc>
        <w:tc>
          <w:tcPr>
            <w:tcW w:type="dxa" w:w="546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Independent local benchmarks with matched methodology would validate dataset representativeness</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16. Decision-Relevant Questions</w:t>
      </w:r>
    </w:p>
    <w:p>
      <w:pPr>
        <w:pStyle w:val="Heading2"/>
        <w:spacing w:after="80" w:before="240"/>
      </w:pPr>
      <w:r>
        <w:rPr>
          <w:rFonts w:ascii="Arial" w:cs="Arial" w:eastAsia="Arial" w:hAnsi="Arial"/>
          <w:b/>
          <w:bCs/>
          <w:color w:val="2E6DA4"/>
          <w:sz w:val="26"/>
          <w:szCs w:val="26"/>
        </w:rPr>
        <w:t xml:space="preserve">Deployment Architecture</w:t>
      </w:r>
    </w:p>
    <w:p>
      <w:pPr>
        <w:pStyle w:val="ListParagraph"/>
        <w:numPr>
          <w:ilvl w:val="0"/>
          <w:numId w:val="2"/>
        </w:numPr>
        <w:spacing w:after="40" w:before="40"/>
      </w:pPr>
      <w:r>
        <w:rPr>
          <w:rFonts w:ascii="Arial" w:cs="Arial" w:eastAsia="Arial" w:hAnsi="Arial"/>
          <w:sz w:val="22"/>
          <w:szCs w:val="22"/>
        </w:rPr>
        <w:t xml:space="preserve">Is the local 5G deployment NSA or SA, and what is the migration timeline?</w:t>
      </w:r>
    </w:p>
    <w:p>
      <w:pPr>
        <w:pStyle w:val="ListParagraph"/>
        <w:numPr>
          <w:ilvl w:val="0"/>
          <w:numId w:val="2"/>
        </w:numPr>
        <w:spacing w:after="40" w:before="40"/>
      </w:pPr>
      <w:r>
        <w:rPr>
          <w:rFonts w:ascii="Arial" w:cs="Arial" w:eastAsia="Arial" w:hAnsi="Arial"/>
          <w:sz w:val="22"/>
          <w:szCs w:val="22"/>
        </w:rPr>
        <w:t xml:space="preserve">What frequency bands are deployed in the target market (FR1/sub-6 GHz vs. FR2/mmWave)?</w:t>
      </w:r>
    </w:p>
    <w:p>
      <w:pPr>
        <w:pStyle w:val="ListParagraph"/>
        <w:numPr>
          <w:ilvl w:val="0"/>
          <w:numId w:val="2"/>
        </w:numPr>
        <w:spacing w:after="40" w:before="40"/>
      </w:pPr>
      <w:r>
        <w:rPr>
          <w:rFonts w:ascii="Arial" w:cs="Arial" w:eastAsia="Arial" w:hAnsi="Arial"/>
          <w:sz w:val="22"/>
          <w:szCs w:val="22"/>
        </w:rPr>
        <w:t xml:space="preserve">What spectrum allocation has been made available to the local operators?</w:t>
      </w:r>
    </w:p>
    <w:p>
      <w:pPr>
        <w:pStyle w:val="Heading2"/>
        <w:spacing w:after="80" w:before="240"/>
      </w:pPr>
      <w:r>
        <w:rPr>
          <w:rFonts w:ascii="Arial" w:cs="Arial" w:eastAsia="Arial" w:hAnsi="Arial"/>
          <w:b/>
          <w:bCs/>
          <w:color w:val="2E6DA4"/>
          <w:sz w:val="26"/>
          <w:szCs w:val="26"/>
        </w:rPr>
        <w:t xml:space="preserve">Performance Investigation</w:t>
      </w:r>
    </w:p>
    <w:p>
      <w:pPr>
        <w:pStyle w:val="ListParagraph"/>
        <w:numPr>
          <w:ilvl w:val="0"/>
          <w:numId w:val="2"/>
        </w:numPr>
        <w:spacing w:after="40" w:before="40"/>
      </w:pPr>
      <w:r>
        <w:rPr>
          <w:rFonts w:ascii="Arial" w:cs="Arial" w:eastAsia="Arial" w:hAnsi="Arial"/>
          <w:sz w:val="22"/>
          <w:szCs w:val="22"/>
        </w:rPr>
        <w:t xml:space="preserve">What explains the observed gap between 54.58 Mbps and global 5G benchmarks (200+ Mbps)?</w:t>
      </w:r>
    </w:p>
    <w:p>
      <w:pPr>
        <w:pStyle w:val="ListParagraph"/>
        <w:numPr>
          <w:ilvl w:val="0"/>
          <w:numId w:val="2"/>
        </w:numPr>
        <w:spacing w:after="40" w:before="40"/>
      </w:pPr>
      <w:r>
        <w:rPr>
          <w:rFonts w:ascii="Arial" w:cs="Arial" w:eastAsia="Arial" w:hAnsi="Arial"/>
          <w:sz w:val="22"/>
          <w:szCs w:val="22"/>
        </w:rPr>
        <w:t xml:space="preserve">How does network performance change under varying subscriber load conditions?</w:t>
      </w:r>
    </w:p>
    <w:p>
      <w:pPr>
        <w:pStyle w:val="ListParagraph"/>
        <w:numPr>
          <w:ilvl w:val="0"/>
          <w:numId w:val="2"/>
        </w:numPr>
        <w:spacing w:after="40" w:before="40"/>
      </w:pPr>
      <w:r>
        <w:rPr>
          <w:rFonts w:ascii="Arial" w:cs="Arial" w:eastAsia="Arial" w:hAnsi="Arial"/>
          <w:sz w:val="22"/>
          <w:szCs w:val="22"/>
        </w:rPr>
        <w:t xml:space="preserve">What is the time-of-day performance profile for the target application windows?</w:t>
      </w:r>
    </w:p>
    <w:p>
      <w:pPr>
        <w:pStyle w:val="Heading2"/>
        <w:spacing w:after="80" w:before="240"/>
      </w:pPr>
      <w:r>
        <w:rPr>
          <w:rFonts w:ascii="Arial" w:cs="Arial" w:eastAsia="Arial" w:hAnsi="Arial"/>
          <w:b/>
          <w:bCs/>
          <w:color w:val="2E6DA4"/>
          <w:sz w:val="26"/>
          <w:szCs w:val="26"/>
        </w:rPr>
        <w:t xml:space="preserve">Infrastructure and Coverage</w:t>
      </w:r>
    </w:p>
    <w:p>
      <w:pPr>
        <w:pStyle w:val="ListParagraph"/>
        <w:numPr>
          <w:ilvl w:val="0"/>
          <w:numId w:val="2"/>
        </w:numPr>
        <w:spacing w:after="40" w:before="40"/>
      </w:pPr>
      <w:r>
        <w:rPr>
          <w:rFonts w:ascii="Arial" w:cs="Arial" w:eastAsia="Arial" w:hAnsi="Arial"/>
          <w:sz w:val="22"/>
          <w:szCs w:val="22"/>
        </w:rPr>
        <w:t xml:space="preserve">What is the cell-level infrastructure density in the target locality?</w:t>
      </w:r>
    </w:p>
    <w:p>
      <w:pPr>
        <w:pStyle w:val="ListParagraph"/>
        <w:numPr>
          <w:ilvl w:val="0"/>
          <w:numId w:val="2"/>
        </w:numPr>
        <w:spacing w:after="40" w:before="40"/>
      </w:pPr>
      <w:r>
        <w:rPr>
          <w:rFonts w:ascii="Arial" w:cs="Arial" w:eastAsia="Arial" w:hAnsi="Arial"/>
          <w:sz w:val="22"/>
          <w:szCs w:val="22"/>
        </w:rPr>
        <w:t xml:space="preserve">How does distance to tower correlate with observed performance?</w:t>
      </w:r>
    </w:p>
    <w:p>
      <w:pPr>
        <w:pStyle w:val="ListParagraph"/>
        <w:numPr>
          <w:ilvl w:val="0"/>
          <w:numId w:val="2"/>
        </w:numPr>
        <w:spacing w:after="40" w:before="40"/>
      </w:pPr>
      <w:r>
        <w:rPr>
          <w:rFonts w:ascii="Arial" w:cs="Arial" w:eastAsia="Arial" w:hAnsi="Arial"/>
          <w:sz w:val="22"/>
          <w:szCs w:val="22"/>
        </w:rPr>
        <w:t xml:space="preserve">Which localities show the largest potential performance improvement from infrastructure investment?</w:t>
      </w:r>
    </w:p>
    <w:p>
      <w:pPr>
        <w:pStyle w:val="Heading2"/>
        <w:spacing w:after="80" w:before="240"/>
      </w:pPr>
      <w:r>
        <w:rPr>
          <w:rFonts w:ascii="Arial" w:cs="Arial" w:eastAsia="Arial" w:hAnsi="Arial"/>
          <w:b/>
          <w:bCs/>
          <w:color w:val="2E6DA4"/>
          <w:sz w:val="26"/>
          <w:szCs w:val="26"/>
        </w:rPr>
        <w:t xml:space="preserve">Application Planning</w:t>
      </w:r>
    </w:p>
    <w:p>
      <w:pPr>
        <w:pStyle w:val="ListParagraph"/>
        <w:numPr>
          <w:ilvl w:val="0"/>
          <w:numId w:val="2"/>
        </w:numPr>
        <w:spacing w:after="40" w:before="40"/>
      </w:pPr>
      <w:r>
        <w:rPr>
          <w:rFonts w:ascii="Arial" w:cs="Arial" w:eastAsia="Arial" w:hAnsi="Arial"/>
          <w:sz w:val="22"/>
          <w:szCs w:val="22"/>
        </w:rPr>
        <w:t xml:space="preserve">What application-specific latency and throughput thresholds must be met for planned use cases?</w:t>
      </w:r>
    </w:p>
    <w:p>
      <w:pPr>
        <w:pStyle w:val="ListParagraph"/>
        <w:numPr>
          <w:ilvl w:val="0"/>
          <w:numId w:val="2"/>
        </w:numPr>
        <w:spacing w:after="40" w:before="40"/>
      </w:pPr>
      <w:r>
        <w:rPr>
          <w:rFonts w:ascii="Arial" w:cs="Arial" w:eastAsia="Arial" w:hAnsi="Arial"/>
          <w:sz w:val="22"/>
          <w:szCs w:val="22"/>
        </w:rPr>
        <w:t xml:space="preserve">Do planned industrial IoT applications require sub-10 ms latency (necessitating SA + MEC)?</w:t>
      </w:r>
    </w:p>
    <w:p>
      <w:pPr>
        <w:pStyle w:val="ListParagraph"/>
        <w:numPr>
          <w:ilvl w:val="0"/>
          <w:numId w:val="2"/>
        </w:numPr>
        <w:spacing w:after="40" w:before="40"/>
      </w:pPr>
      <w:r>
        <w:rPr>
          <w:rFonts w:ascii="Arial" w:cs="Arial" w:eastAsia="Arial" w:hAnsi="Arial"/>
          <w:sz w:val="22"/>
          <w:szCs w:val="22"/>
        </w:rPr>
        <w:t xml:space="preserve">What device capability tier is required to achieve benchmark-level 5G performance?</w:t>
      </w:r>
    </w:p>
    <w:p>
      <w:pPr>
        <w:pStyle w:val="Heading2"/>
        <w:spacing w:after="80" w:before="240"/>
      </w:pPr>
      <w:r>
        <w:rPr>
          <w:rFonts w:ascii="Arial" w:cs="Arial" w:eastAsia="Arial" w:hAnsi="Arial"/>
          <w:b/>
          <w:bCs/>
          <w:color w:val="2E6DA4"/>
          <w:sz w:val="26"/>
          <w:szCs w:val="26"/>
        </w:rPr>
        <w:t xml:space="preserve">Market Context Validation</w:t>
      </w:r>
    </w:p>
    <w:p>
      <w:pPr>
        <w:pStyle w:val="ListParagraph"/>
        <w:numPr>
          <w:ilvl w:val="0"/>
          <w:numId w:val="2"/>
        </w:numPr>
        <w:spacing w:after="40" w:before="40"/>
      </w:pPr>
      <w:r>
        <w:rPr>
          <w:rFonts w:ascii="Arial" w:cs="Arial" w:eastAsia="Arial" w:hAnsi="Arial"/>
          <w:sz w:val="22"/>
          <w:szCs w:val="22"/>
        </w:rPr>
        <w:t xml:space="preserve">Have updated measurements been conducted since mid-2023 to assess network maturation?</w:t>
      </w:r>
    </w:p>
    <w:p>
      <w:pPr>
        <w:pStyle w:val="ListParagraph"/>
        <w:numPr>
          <w:ilvl w:val="0"/>
          <w:numId w:val="2"/>
        </w:numPr>
        <w:spacing w:after="40" w:before="40"/>
      </w:pPr>
      <w:r>
        <w:rPr>
          <w:rFonts w:ascii="Arial" w:cs="Arial" w:eastAsia="Arial" w:hAnsi="Arial"/>
          <w:sz w:val="22"/>
          <w:szCs w:val="22"/>
        </w:rPr>
        <w:t xml:space="preserve">What independent benchmark data exists for the target geography?</w:t>
      </w:r>
    </w:p>
    <w:p>
      <w:pPr>
        <w:pStyle w:val="ListParagraph"/>
        <w:numPr>
          <w:ilvl w:val="0"/>
          <w:numId w:val="2"/>
        </w:numPr>
        <w:spacing w:after="40" w:before="40"/>
      </w:pPr>
      <w:r>
        <w:rPr>
          <w:rFonts w:ascii="Arial" w:cs="Arial" w:eastAsia="Arial" w:hAnsi="Arial"/>
          <w:sz w:val="22"/>
          <w:szCs w:val="22"/>
        </w:rPr>
        <w:t xml:space="preserve">Has India's SA deployment expansion materially changed performance in the target localities?</w:t>
      </w:r>
    </w:p>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17. Evidence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Finding</w:t>
            </w:r>
          </w:p>
        </w:tc>
        <w:tc>
          <w:tcPr>
            <w:tcW w:type="dxa" w:w="234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Classification</w:t>
            </w:r>
          </w:p>
        </w:tc>
        <w:tc>
          <w:tcPr>
            <w:tcW w:type="dxa" w:w="3380"/>
            <w:tcBorders>
              <w:top w:val="single" w:color="CCCCCC" w:sz="1"/>
              <w:left w:val="single" w:color="CCCCCC" w:sz="1"/>
              <w:bottom w:val="single" w:color="CCCCCC" w:sz="1"/>
              <w:right w:val="single" w:color="CCCCCC" w:sz="1"/>
            </w:tcBorders>
            <w:shd w:fill="1F3864" w:val="clear"/>
            <w:vAlign w:val="center"/>
          </w:tcPr>
          <w:p>
            <w:pPr>
              <w:spacing w:after="80" w:before="80"/>
              <w:jc w:val="center"/>
            </w:pPr>
            <w:r>
              <w:rPr>
                <w:b/>
                <w:bCs/>
                <w:color w:val="FFFFFF"/>
                <w:sz w:val="20"/>
                <w:szCs w:val="20"/>
              </w:rPr>
              <w:t xml:space="preserve">Notes</w:t>
            </w:r>
          </w:p>
        </w:tc>
      </w:tr>
      <w:tr>
        <w:tc>
          <w:tcPr>
            <w:tcW w:type="dxa" w:w="3640"/>
            <w:tcBorders>
              <w:top w:val="single" w:color="CCCCCC" w:sz="1"/>
              <w:left w:val="single" w:color="CCCCCC" w:sz="1"/>
              <w:bottom w:val="single" w:color="CCCCCC" w:sz="1"/>
              <w:right w:val="single" w:color="CCCCCC" w:sz="1"/>
            </w:tcBorders>
            <w:shd w:fill="F0F7FF" w:val="clear"/>
          </w:tcPr>
          <w:p>
            <w:pPr>
              <w:spacing w:after="60" w:before="60"/>
              <w:jc w:val="left"/>
            </w:pPr>
            <w:r>
              <w:rPr>
                <w:b w:val="false"/>
                <w:bCs w:val="false"/>
                <w:color w:val="000000"/>
                <w:sz w:val="20"/>
                <w:szCs w:val="20"/>
              </w:rPr>
              <w:t xml:space="preserve">5G outperforms 4G, LTE, and 3G in throughput and latency</w:t>
            </w:r>
          </w:p>
        </w:tc>
        <w:tc>
          <w:tcPr>
            <w:tcW w:type="dxa" w:w="2340"/>
            <w:tcBorders>
              <w:top w:val="single" w:color="CCCCCC" w:sz="1"/>
              <w:left w:val="single" w:color="CCCCCC" w:sz="1"/>
              <w:bottom w:val="single" w:color="CCCCCC" w:sz="1"/>
              <w:right w:val="single" w:color="CCCCCC" w:sz="1"/>
            </w:tcBorders>
            <w:shd w:fill="E8F5E8" w:val="clear"/>
          </w:tcPr>
          <w:p>
            <w:pPr>
              <w:spacing w:after="60" w:before="60"/>
              <w:jc w:val="center"/>
            </w:pPr>
            <w:r>
              <w:rPr>
                <w:b/>
                <w:bCs/>
                <w:color w:val="000000"/>
                <w:sz w:val="20"/>
                <w:szCs w:val="20"/>
              </w:rPr>
              <w:t xml:space="preserve">[SUPPORTED BY DATA]</w:t>
            </w:r>
          </w:p>
        </w:tc>
        <w:tc>
          <w:tcPr>
            <w:tcW w:type="dxa" w:w="3380"/>
            <w:tcBorders>
              <w:top w:val="single" w:color="CCCCCC" w:sz="1"/>
              <w:left w:val="single" w:color="CCCCCC" w:sz="1"/>
              <w:bottom w:val="single" w:color="CCCCCC" w:sz="1"/>
              <w:right w:val="single" w:color="CCCCCC" w:sz="1"/>
            </w:tcBorders>
            <w:shd w:fill="F0F7FF" w:val="clear"/>
          </w:tcPr>
          <w:p>
            <w:pPr>
              <w:spacing w:after="60" w:before="60"/>
              <w:jc w:val="left"/>
            </w:pPr>
            <w:r>
              <w:rPr>
                <w:b w:val="false"/>
                <w:bCs w:val="false"/>
                <w:color w:val="000000"/>
                <w:sz w:val="20"/>
                <w:szCs w:val="20"/>
              </w:rPr>
              <w:t xml:space="preserve">Consistent across all 20 localities, &gt;4,000 records per technology type</w:t>
            </w:r>
          </w:p>
        </w:tc>
      </w:tr>
      <w:tr>
        <w:tc>
          <w:tcPr>
            <w:tcW w:type="dxa" w:w="36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Signal strength moderately associated with performance</w:t>
            </w:r>
          </w:p>
        </w:tc>
        <w:tc>
          <w:tcPr>
            <w:tcW w:type="dxa" w:w="2340"/>
            <w:tcBorders>
              <w:top w:val="single" w:color="CCCCCC" w:sz="1"/>
              <w:left w:val="single" w:color="CCCCCC" w:sz="1"/>
              <w:bottom w:val="single" w:color="CCCCCC" w:sz="1"/>
              <w:right w:val="single" w:color="CCCCCC" w:sz="1"/>
            </w:tcBorders>
            <w:shd w:fill="E8F5E8" w:val="clear"/>
          </w:tcPr>
          <w:p>
            <w:pPr>
              <w:spacing w:after="60" w:before="60"/>
              <w:jc w:val="center"/>
            </w:pPr>
            <w:r>
              <w:rPr>
                <w:b/>
                <w:bCs/>
                <w:color w:val="000000"/>
                <w:sz w:val="20"/>
                <w:szCs w:val="20"/>
              </w:rPr>
              <w:t xml:space="preserve">[SUPPORTED BY DATA]</w:t>
            </w:r>
          </w:p>
        </w:tc>
        <w:tc>
          <w:tcPr>
            <w:tcW w:type="dxa" w:w="338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r = −0.48 / +0.50 pooled; within each network type |r| &lt; 0.03 (network-mix effect; Quick Figures 22A–22C, 25A–25F)</w:t>
            </w:r>
          </w:p>
        </w:tc>
      </w:tr>
      <w:tr>
        <w:tc>
          <w:tcPr>
            <w:tcW w:type="dxa" w:w="36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Technology-type differences &gt; locality differences</w:t>
            </w:r>
          </w:p>
        </w:tc>
        <w:tc>
          <w:tcPr>
            <w:tcW w:type="dxa" w:w="2340"/>
            <w:tcBorders>
              <w:top w:val="single" w:color="CCCCCC" w:sz="1"/>
              <w:left w:val="single" w:color="CCCCCC" w:sz="1"/>
              <w:bottom w:val="single" w:color="CCCCCC" w:sz="1"/>
              <w:right w:val="single" w:color="CCCCCC" w:sz="1"/>
            </w:tcBorders>
            <w:shd w:fill="E8F5E8" w:val="clear"/>
          </w:tcPr>
          <w:p>
            <w:pPr>
              <w:spacing w:after="60" w:before="60"/>
              <w:jc w:val="center"/>
            </w:pPr>
            <w:r>
              <w:rPr>
                <w:b/>
                <w:bCs/>
                <w:color w:val="000000"/>
                <w:sz w:val="20"/>
                <w:szCs w:val="20"/>
              </w:rPr>
              <w:t xml:space="preserve">[SUPPORTED BY DATA]</w:t>
            </w:r>
          </w:p>
        </w:tc>
        <w:tc>
          <w:tcPr>
            <w:tcW w:type="dxa" w:w="338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~48 Mbps vs. ~3 Mbps observed difference</w:t>
            </w:r>
          </w:p>
        </w:tc>
      </w:tr>
      <w:tr>
        <w:tc>
          <w:tcPr>
            <w:tcW w:type="dxa" w:w="36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5G throughput gap vs. global benchmarks (54.58 vs. 200+ Mbps)</w:t>
            </w:r>
          </w:p>
        </w:tc>
        <w:tc>
          <w:tcPr>
            <w:tcW w:type="dxa" w:w="2340"/>
            <w:tcBorders>
              <w:top w:val="single" w:color="CCCCCC" w:sz="1"/>
              <w:left w:val="single" w:color="CCCCCC" w:sz="1"/>
              <w:bottom w:val="single" w:color="CCCCCC" w:sz="1"/>
              <w:right w:val="single" w:color="CCCCCC" w:sz="1"/>
            </w:tcBorders>
            <w:shd w:fill="FFF8E1" w:val="clear"/>
          </w:tcPr>
          <w:p>
            <w:pPr>
              <w:spacing w:after="60" w:before="60"/>
              <w:jc w:val="center"/>
            </w:pPr>
            <w:r>
              <w:rPr>
                <w:b/>
                <w:bCs/>
                <w:color w:val="000000"/>
                <w:sz w:val="20"/>
                <w:szCs w:val="20"/>
              </w:rPr>
              <w:t xml:space="preserve">[PARTIALLY SUPPORTED]</w:t>
            </w:r>
          </w:p>
        </w:tc>
        <w:tc>
          <w:tcPr>
            <w:tcW w:type="dxa" w:w="338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Gap is real; underlying cause cannot be determined from dataset alone</w:t>
            </w:r>
          </w:p>
        </w:tc>
      </w:tr>
      <w:tr>
        <w:tc>
          <w:tcPr>
            <w:tcW w:type="dxa" w:w="36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5G latency better than global median (29.86 vs. 44 ms)</w:t>
            </w:r>
          </w:p>
        </w:tc>
        <w:tc>
          <w:tcPr>
            <w:tcW w:type="dxa" w:w="2340"/>
            <w:tcBorders>
              <w:top w:val="single" w:color="CCCCCC" w:sz="1"/>
              <w:left w:val="single" w:color="CCCCCC" w:sz="1"/>
              <w:bottom w:val="single" w:color="CCCCCC" w:sz="1"/>
              <w:right w:val="single" w:color="CCCCCC" w:sz="1"/>
            </w:tcBorders>
            <w:shd w:fill="FFF8E1" w:val="clear"/>
          </w:tcPr>
          <w:p>
            <w:pPr>
              <w:spacing w:after="60" w:before="60"/>
              <w:jc w:val="center"/>
            </w:pPr>
            <w:r>
              <w:rPr>
                <w:b/>
                <w:bCs/>
                <w:color w:val="000000"/>
                <w:sz w:val="20"/>
                <w:szCs w:val="20"/>
              </w:rPr>
              <w:t xml:space="preserve">[PARTIALLY SUPPORTED]</w:t>
            </w:r>
          </w:p>
        </w:tc>
        <w:tc>
          <w:tcPr>
            <w:tcW w:type="dxa" w:w="338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Better than Ookla median; but far above ITU-R targets (4 ms / 1 ms)</w:t>
            </w:r>
          </w:p>
        </w:tc>
      </w:tr>
      <w:tr>
        <w:tc>
          <w:tcPr>
            <w:tcW w:type="dxa" w:w="36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Private 5G suitability for enterprise applications</w:t>
            </w:r>
          </w:p>
        </w:tc>
        <w:tc>
          <w:tcPr>
            <w:tcW w:type="dxa" w:w="2340"/>
            <w:tcBorders>
              <w:top w:val="single" w:color="CCCCCC" w:sz="1"/>
              <w:left w:val="single" w:color="CCCCCC" w:sz="1"/>
              <w:bottom w:val="single" w:color="CCCCCC" w:sz="1"/>
              <w:right w:val="single" w:color="CCCCCC" w:sz="1"/>
            </w:tcBorders>
            <w:shd w:fill="FDECEA" w:val="clear"/>
          </w:tcPr>
          <w:p>
            <w:pPr>
              <w:spacing w:after="60" w:before="60"/>
              <w:jc w:val="center"/>
            </w:pPr>
            <w:r>
              <w:rPr>
                <w:b/>
                <w:bCs/>
                <w:color w:val="000000"/>
                <w:sz w:val="20"/>
                <w:szCs w:val="20"/>
              </w:rPr>
              <w:t xml:space="preserve">[NOT TESTABLE WITH DATA]</w:t>
            </w:r>
          </w:p>
        </w:tc>
        <w:tc>
          <w:tcPr>
            <w:tcW w:type="dxa" w:w="338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No private network measurements in dataset</w:t>
            </w:r>
          </w:p>
        </w:tc>
      </w:tr>
      <w:tr>
        <w:tc>
          <w:tcPr>
            <w:tcW w:type="dxa" w:w="36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Network slicing, MEC, AI optimization impact</w:t>
            </w:r>
          </w:p>
        </w:tc>
        <w:tc>
          <w:tcPr>
            <w:tcW w:type="dxa" w:w="2340"/>
            <w:tcBorders>
              <w:top w:val="single" w:color="CCCCCC" w:sz="1"/>
              <w:left w:val="single" w:color="CCCCCC" w:sz="1"/>
              <w:bottom w:val="single" w:color="CCCCCC" w:sz="1"/>
              <w:right w:val="single" w:color="CCCCCC" w:sz="1"/>
            </w:tcBorders>
            <w:shd w:fill="FDECEA" w:val="clear"/>
          </w:tcPr>
          <w:p>
            <w:pPr>
              <w:spacing w:after="60" w:before="60"/>
              <w:jc w:val="center"/>
            </w:pPr>
            <w:r>
              <w:rPr>
                <w:b/>
                <w:bCs/>
                <w:color w:val="000000"/>
                <w:sz w:val="20"/>
                <w:szCs w:val="20"/>
              </w:rPr>
              <w:t xml:space="preserve">[NOT TESTABLE WITH DATA]</w:t>
            </w:r>
          </w:p>
        </w:tc>
        <w:tc>
          <w:tcPr>
            <w:tcW w:type="dxa" w:w="338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Dataset contains no network slice, edge, or AI configuration metadata</w:t>
            </w:r>
          </w:p>
        </w:tc>
      </w:tr>
      <w:tr>
        <w:tc>
          <w:tcPr>
            <w:tcW w:type="dxa" w:w="36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Frequency-band (FR1 vs. FR2) identification</w:t>
            </w:r>
          </w:p>
        </w:tc>
        <w:tc>
          <w:tcPr>
            <w:tcW w:type="dxa" w:w="2340"/>
            <w:tcBorders>
              <w:top w:val="single" w:color="CCCCCC" w:sz="1"/>
              <w:left w:val="single" w:color="CCCCCC" w:sz="1"/>
              <w:bottom w:val="single" w:color="CCCCCC" w:sz="1"/>
              <w:right w:val="single" w:color="CCCCCC" w:sz="1"/>
            </w:tcBorders>
            <w:shd w:fill="FDECEA" w:val="clear"/>
          </w:tcPr>
          <w:p>
            <w:pPr>
              <w:spacing w:after="60" w:before="60"/>
              <w:jc w:val="center"/>
            </w:pPr>
            <w:r>
              <w:rPr>
                <w:b/>
                <w:bCs/>
                <w:color w:val="000000"/>
                <w:sz w:val="20"/>
                <w:szCs w:val="20"/>
              </w:rPr>
              <w:t xml:space="preserve">[NOT TESTABLE WITH DATA]</w:t>
            </w:r>
          </w:p>
        </w:tc>
        <w:tc>
          <w:tcPr>
            <w:tcW w:type="dxa" w:w="338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No frequency-band metadata available</w:t>
            </w:r>
          </w:p>
        </w:tc>
      </w:tr>
      <w:tr>
        <w:tc>
          <w:tcPr>
            <w:tcW w:type="dxa" w:w="364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NSA vs. SA architecture effects on performance</w:t>
            </w:r>
          </w:p>
        </w:tc>
        <w:tc>
          <w:tcPr>
            <w:tcW w:type="dxa" w:w="2340"/>
            <w:tcBorders>
              <w:top w:val="single" w:color="CCCCCC" w:sz="1"/>
              <w:left w:val="single" w:color="CCCCCC" w:sz="1"/>
              <w:bottom w:val="single" w:color="CCCCCC" w:sz="1"/>
              <w:right w:val="single" w:color="CCCCCC" w:sz="1"/>
            </w:tcBorders>
            <w:shd w:fill="FFF3E6" w:val="clear"/>
          </w:tcPr>
          <w:p>
            <w:pPr>
              <w:spacing w:after="60" w:before="60"/>
              <w:jc w:val="center"/>
            </w:pPr>
            <w:r>
              <w:rPr>
                <w:b/>
                <w:bCs/>
                <w:color w:val="000000"/>
                <w:sz w:val="20"/>
                <w:szCs w:val="20"/>
              </w:rPr>
              <w:t xml:space="preserve">[REQUIRES FURTHER RESEARCH]</w:t>
            </w:r>
          </w:p>
        </w:tc>
        <w:tc>
          <w:tcPr>
            <w:tcW w:type="dxa" w:w="3380"/>
            <w:tcBorders>
              <w:top w:val="single" w:color="CCCCCC" w:sz="1"/>
              <w:left w:val="single" w:color="CCCCCC" w:sz="1"/>
              <w:bottom w:val="single" w:color="CCCCCC" w:sz="1"/>
              <w:right w:val="single" w:color="CCCCCC" w:sz="1"/>
            </w:tcBorders>
            <w:shd w:fill="F9F9F9" w:val="clear"/>
          </w:tcPr>
          <w:p>
            <w:pPr>
              <w:spacing w:after="60" w:before="60"/>
              <w:jc w:val="left"/>
            </w:pPr>
            <w:r>
              <w:rPr>
                <w:b w:val="false"/>
                <w:bCs w:val="false"/>
                <w:color w:val="000000"/>
                <w:sz w:val="20"/>
                <w:szCs w:val="20"/>
              </w:rPr>
              <w:t xml:space="preserve">Dataset predates widespread SA in Patna; architecture metadata unavailable</w:t>
            </w:r>
          </w:p>
        </w:tc>
      </w:tr>
      <w:tr>
        <w:tc>
          <w:tcPr>
            <w:tcW w:type="dxa" w:w="364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LTE-3G performance convergence explanation</w:t>
            </w:r>
          </w:p>
        </w:tc>
        <w:tc>
          <w:tcPr>
            <w:tcW w:type="dxa" w:w="2340"/>
            <w:tcBorders>
              <w:top w:val="single" w:color="CCCCCC" w:sz="1"/>
              <w:left w:val="single" w:color="CCCCCC" w:sz="1"/>
              <w:bottom w:val="single" w:color="CCCCCC" w:sz="1"/>
              <w:right w:val="single" w:color="CCCCCC" w:sz="1"/>
            </w:tcBorders>
            <w:shd w:fill="FFF3E6" w:val="clear"/>
          </w:tcPr>
          <w:p>
            <w:pPr>
              <w:spacing w:after="60" w:before="60"/>
              <w:jc w:val="center"/>
            </w:pPr>
            <w:r>
              <w:rPr>
                <w:b/>
                <w:bCs/>
                <w:color w:val="000000"/>
                <w:sz w:val="20"/>
                <w:szCs w:val="20"/>
              </w:rPr>
              <w:t xml:space="preserve">[REQUIRES FURTHER RESEARCH]</w:t>
            </w:r>
          </w:p>
        </w:tc>
        <w:tc>
          <w:tcPr>
            <w:tcW w:type="dxa" w:w="338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000000"/>
                <w:sz w:val="20"/>
                <w:szCs w:val="20"/>
              </w:rPr>
              <w:t xml:space="preserve">Anomaly observed; cause (constrained conditions vs. methodology) undetermined</w:t>
            </w:r>
          </w:p>
        </w:tc>
      </w:tr>
    </w:tbl>
    <w:p>
      <w:pPr>
        <w:spacing w:after="8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CCCCCC" w:sz="1"/>
              <w:left w:val="single" w:color="CCCCCC" w:sz="1"/>
              <w:bottom w:val="single" w:color="CCCCCC" w:sz="1"/>
              <w:right w:val="single" w:color="CCCCCC" w:sz="1"/>
            </w:tcBorders>
            <w:shd w:fill="E8F0FA" w:val="clear"/>
          </w:tcPr>
          <w:p>
            <w:pPr>
              <w:spacing w:after="80" w:before="80"/>
            </w:pPr>
            <w:r>
              <w:rPr>
                <w:i/>
                <w:iCs/>
                <w:sz w:val="19"/>
                <w:szCs w:val="19"/>
              </w:rPr>
              <w:t xml:space="preserve">FINAL ANALYTICAL STATEMENT: Network technology type is the strongest observed source of performance differentiation in this dataset. All findings are descriptive observations. No causal claims, investment justifications, or market-size conclusions are supported by this dataset alone.</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18. Evidence References</w:t>
      </w:r>
    </w:p>
    <w:p>
      <w:pPr>
        <w:pStyle w:val="Heading2"/>
        <w:spacing w:after="80" w:before="240"/>
      </w:pPr>
      <w:r>
        <w:rPr>
          <w:rFonts w:ascii="Arial" w:cs="Arial" w:eastAsia="Arial" w:hAnsi="Arial"/>
          <w:b/>
          <w:bCs/>
          <w:color w:val="2E6DA4"/>
          <w:sz w:val="26"/>
          <w:szCs w:val="26"/>
        </w:rPr>
        <w:t xml:space="preserve">Dataset Verification Evidence</w:t>
      </w:r>
    </w:p>
    <w:p>
      <w:pPr>
        <w:pStyle w:val="ListParagraph"/>
        <w:numPr>
          <w:ilvl w:val="0"/>
          <w:numId w:val="2"/>
        </w:numPr>
        <w:spacing w:after="40" w:before="40"/>
      </w:pPr>
      <w:r>
        <w:rPr>
          <w:rFonts w:ascii="Arial" w:cs="Arial" w:eastAsia="Arial" w:hAnsi="Arial"/>
          <w:sz w:val="22"/>
          <w:szCs w:val="22"/>
        </w:rPr>
        <w:t xml:space="preserve">Quick_Screenshots/14_Research_Source_Panel.png — Research source panel and dataset identity verification</w:t>
      </w:r>
    </w:p>
    <w:p>
      <w:pPr>
        <w:pStyle w:val="ListParagraph"/>
        <w:numPr>
          <w:ilvl w:val="0"/>
          <w:numId w:val="2"/>
        </w:numPr>
        <w:spacing w:after="40" w:before="40"/>
      </w:pPr>
      <w:r>
        <w:rPr>
          <w:rFonts w:ascii="Arial" w:cs="Arial" w:eastAsia="Arial" w:hAnsi="Arial"/>
          <w:sz w:val="22"/>
          <w:szCs w:val="22"/>
        </w:rPr>
        <w:t xml:space="preserve">Quick_Screenshots/15A_Network_Type_Record_Verification.png, Quick_Screenshots/15B_Network_Type_Performance_Verification.png — Network type record count and performance verification</w:t>
      </w:r>
    </w:p>
    <w:p>
      <w:pPr>
        <w:pStyle w:val="ListParagraph"/>
        <w:numPr>
          <w:ilvl w:val="0"/>
          <w:numId w:val="2"/>
        </w:numPr>
        <w:spacing w:after="40" w:before="40"/>
      </w:pPr>
      <w:r>
        <w:rPr>
          <w:rFonts w:ascii="Arial" w:cs="Arial" w:eastAsia="Arial" w:hAnsi="Arial"/>
          <w:sz w:val="22"/>
          <w:szCs w:val="22"/>
        </w:rPr>
        <w:t xml:space="preserve">Quick_Screenshots/16_Network_Locality_Crosstab.png — Network type × locality cross-tabulation</w:t>
      </w:r>
    </w:p>
    <w:p>
      <w:pPr>
        <w:pStyle w:val="ListParagraph"/>
        <w:numPr>
          <w:ilvl w:val="0"/>
          <w:numId w:val="2"/>
        </w:numPr>
        <w:spacing w:after="40" w:before="40"/>
      </w:pPr>
      <w:r>
        <w:rPr>
          <w:rFonts w:ascii="Arial" w:cs="Arial" w:eastAsia="Arial" w:hAnsi="Arial"/>
          <w:sz w:val="22"/>
          <w:szCs w:val="22"/>
        </w:rPr>
        <w:t xml:space="preserve">Quick_Screenshots/17A_Locality_Network_Performance_Verification.png, Quick_Screenshots/17B_Locality_Network_Performance_Verification.png, Quick_Screenshots/17C_Locality_Network_Performance_Verification.png — Locality performance verification</w:t>
      </w:r>
    </w:p>
    <w:p>
      <w:pPr>
        <w:pStyle w:val="ListParagraph"/>
        <w:numPr>
          <w:ilvl w:val="0"/>
          <w:numId w:val="2"/>
        </w:numPr>
        <w:spacing w:after="40" w:before="40"/>
      </w:pPr>
      <w:r>
        <w:rPr>
          <w:rFonts w:ascii="Arial" w:cs="Arial" w:eastAsia="Arial" w:hAnsi="Arial"/>
          <w:sz w:val="22"/>
          <w:szCs w:val="22"/>
        </w:rPr>
        <w:t xml:space="preserve">Quick_Screenshots/18A_Network_Performance_Integrity.png – 18D_Network_Performance_Integrity.png — Network performance integrity checks</w:t>
      </w:r>
    </w:p>
    <w:p>
      <w:pPr>
        <w:pStyle w:val="ListParagraph"/>
        <w:numPr>
          <w:ilvl w:val="0"/>
          <w:numId w:val="2"/>
        </w:numPr>
        <w:spacing w:after="40" w:before="40"/>
      </w:pPr>
      <w:r>
        <w:rPr>
          <w:rFonts w:ascii="Arial" w:cs="Arial" w:eastAsia="Arial" w:hAnsi="Arial"/>
          <w:sz w:val="22"/>
          <w:szCs w:val="22"/>
        </w:rPr>
        <w:t xml:space="preserve">Quick_Screenshots/19A_Independent_Performance_Verification.png – 19C_Independent_Performance_Verification.png — Independent recalculation verification</w:t>
      </w:r>
    </w:p>
    <w:p>
      <w:pPr>
        <w:pStyle w:val="ListParagraph"/>
        <w:numPr>
          <w:ilvl w:val="0"/>
          <w:numId w:val="2"/>
        </w:numPr>
        <w:spacing w:after="40" w:before="40"/>
      </w:pPr>
      <w:r>
        <w:rPr>
          <w:rFonts w:ascii="Arial" w:cs="Arial" w:eastAsia="Arial" w:hAnsi="Arial"/>
          <w:sz w:val="22"/>
          <w:szCs w:val="22"/>
        </w:rPr>
        <w:t xml:space="preserve">Quick_Screenshots/20A_Final_Performance_Reconciliation.png – 20C_Final_Performance_Reconciliation.png — Final performance reconciliation</w:t>
      </w:r>
    </w:p>
    <w:p>
      <w:pPr>
        <w:pStyle w:val="ListParagraph"/>
        <w:numPr>
          <w:ilvl w:val="0"/>
          <w:numId w:val="2"/>
        </w:numPr>
        <w:spacing w:after="40" w:before="40"/>
      </w:pPr>
      <w:r>
        <w:rPr>
          <w:rFonts w:ascii="Arial" w:cs="Arial" w:eastAsia="Arial" w:hAnsi="Arial"/>
          <w:sz w:val="22"/>
          <w:szCs w:val="22"/>
        </w:rPr>
        <w:t xml:space="preserve">Quick_Screenshots/21A_Signal_Performance_Integrity.png – 21C_Signal_Performance_Integrity.png — Signal performance integrity</w:t>
      </w:r>
    </w:p>
    <w:p>
      <w:pPr>
        <w:pStyle w:val="ListParagraph"/>
        <w:numPr>
          <w:ilvl w:val="0"/>
          <w:numId w:val="2"/>
        </w:numPr>
        <w:spacing w:after="40" w:before="40"/>
      </w:pPr>
      <w:r>
        <w:rPr>
          <w:rFonts w:ascii="Arial" w:cs="Arial" w:eastAsia="Arial" w:hAnsi="Arial"/>
          <w:sz w:val="22"/>
          <w:szCs w:val="22"/>
        </w:rPr>
        <w:t xml:space="preserve">Quick_Screenshots/22A_Signal_Correlation_Verification.png – 22C_Signal_Correlation_Verification.png — Signal correlation verification</w:t>
      </w:r>
    </w:p>
    <w:p>
      <w:pPr>
        <w:pStyle w:val="ListParagraph"/>
        <w:numPr>
          <w:ilvl w:val="0"/>
          <w:numId w:val="2"/>
        </w:numPr>
        <w:spacing w:after="40" w:before="40"/>
      </w:pPr>
      <w:r>
        <w:rPr>
          <w:rFonts w:ascii="Arial" w:cs="Arial" w:eastAsia="Arial" w:hAnsi="Arial"/>
          <w:sz w:val="22"/>
          <w:szCs w:val="22"/>
        </w:rPr>
        <w:t xml:space="preserve">Quick_Screenshots/23A_Signal_Quality_Verification.png – 23C_Signal_Quality_Verification.png — Signal Quality limitation verification</w:t>
      </w:r>
    </w:p>
    <w:p>
      <w:pPr>
        <w:pStyle w:val="ListParagraph"/>
        <w:numPr>
          <w:ilvl w:val="0"/>
          <w:numId w:val="2"/>
        </w:numPr>
        <w:spacing w:after="40" w:before="40"/>
      </w:pPr>
      <w:r>
        <w:rPr>
          <w:rFonts w:ascii="Arial" w:cs="Arial" w:eastAsia="Arial" w:hAnsi="Arial"/>
          <w:sz w:val="22"/>
          <w:szCs w:val="22"/>
        </w:rPr>
        <w:t xml:space="preserve">Quick_Screenshots/24A_SDR_Measurement_Verification.png – 24E_SDR_Measurement_Verification.png — SDR instrument measurement verification</w:t>
      </w:r>
    </w:p>
    <w:p>
      <w:pPr>
        <w:pStyle w:val="ListParagraph"/>
        <w:numPr>
          <w:ilvl w:val="0"/>
          <w:numId w:val="2"/>
        </w:numPr>
        <w:spacing w:after="40" w:before="40"/>
      </w:pPr>
      <w:r>
        <w:rPr>
          <w:rFonts w:ascii="Arial" w:cs="Arial" w:eastAsia="Arial" w:hAnsi="Arial"/>
          <w:sz w:val="22"/>
          <w:szCs w:val="22"/>
        </w:rPr>
        <w:t xml:space="preserve">Quick_Screenshots/25A_Signal_Final_Reconciliation.png – 25F_Signal_Final_Reconciliation.png — Signal final reconciliation</w:t>
      </w:r>
    </w:p>
    <w:p>
      <w:pPr>
        <w:pStyle w:val="ListParagraph"/>
        <w:numPr>
          <w:ilvl w:val="0"/>
          <w:numId w:val="2"/>
        </w:numPr>
        <w:spacing w:after="40" w:before="40"/>
      </w:pPr>
      <w:r>
        <w:rPr>
          <w:rFonts w:ascii="Arial" w:cs="Arial" w:eastAsia="Arial" w:hAnsi="Arial"/>
          <w:sz w:val="22"/>
          <w:szCs w:val="22"/>
        </w:rPr>
        <w:t xml:space="preserve">Quick_Screenshots/26A_Time_Performance_Integrity.png – 26D_Time_Performance_Integrity.png — Timestamp integrity verification</w:t>
      </w:r>
    </w:p>
    <w:p>
      <w:pPr>
        <w:pStyle w:val="ListParagraph"/>
        <w:numPr>
          <w:ilvl w:val="0"/>
          <w:numId w:val="2"/>
        </w:numPr>
        <w:spacing w:after="40" w:before="40"/>
      </w:pPr>
      <w:r>
        <w:rPr>
          <w:rFonts w:ascii="Arial" w:cs="Arial" w:eastAsia="Arial" w:hAnsi="Arial"/>
          <w:sz w:val="22"/>
          <w:szCs w:val="22"/>
        </w:rPr>
        <w:t xml:space="preserve">Quick_Screenshots/27A_Time_Performance_Verification.png – 27D_Time_Performance_Verification.png — Time-series verification</w:t>
      </w:r>
    </w:p>
    <w:p>
      <w:pPr>
        <w:pStyle w:val="ListParagraph"/>
        <w:numPr>
          <w:ilvl w:val="0"/>
          <w:numId w:val="2"/>
        </w:numPr>
        <w:spacing w:after="40" w:before="40"/>
      </w:pPr>
      <w:r>
        <w:rPr>
          <w:rFonts w:ascii="Arial" w:cs="Arial" w:eastAsia="Arial" w:hAnsi="Arial"/>
          <w:sz w:val="22"/>
          <w:szCs w:val="22"/>
        </w:rPr>
        <w:t xml:space="preserve">Quick_Screenshots/28A_Time_Final_Reconciliation.png – 28G_Time_Final_Reconciliation.png — Final temporal reconciliation</w:t>
      </w:r>
    </w:p>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Visualization Evidence</w:t>
      </w:r>
    </w:p>
    <w:p>
      <w:pPr>
        <w:pStyle w:val="ListParagraph"/>
        <w:numPr>
          <w:ilvl w:val="0"/>
          <w:numId w:val="2"/>
        </w:numPr>
        <w:spacing w:after="40" w:before="40"/>
      </w:pPr>
      <w:r>
        <w:rPr>
          <w:rFonts w:ascii="Arial" w:cs="Arial" w:eastAsia="Arial" w:hAnsi="Arial"/>
          <w:sz w:val="22"/>
          <w:szCs w:val="22"/>
        </w:rPr>
        <w:t xml:space="preserve">Quick_Screenshots/05_Network_Performance.png — Performance overview by network type</w:t>
      </w:r>
    </w:p>
    <w:p>
      <w:pPr>
        <w:pStyle w:val="ListParagraph"/>
        <w:numPr>
          <w:ilvl w:val="0"/>
          <w:numId w:val="2"/>
        </w:numPr>
        <w:spacing w:after="40" w:before="40"/>
      </w:pPr>
      <w:r>
        <w:rPr>
          <w:rFonts w:ascii="Arial" w:cs="Arial" w:eastAsia="Arial" w:hAnsi="Arial"/>
          <w:sz w:val="22"/>
          <w:szCs w:val="22"/>
        </w:rPr>
        <w:t xml:space="preserve">Quick_Screenshots/06_Throughput_By_Network.png — Throughput distribution by network type</w:t>
      </w:r>
    </w:p>
    <w:p>
      <w:pPr>
        <w:pStyle w:val="ListParagraph"/>
        <w:numPr>
          <w:ilvl w:val="0"/>
          <w:numId w:val="2"/>
        </w:numPr>
        <w:spacing w:after="40" w:before="40"/>
      </w:pPr>
      <w:r>
        <w:rPr>
          <w:rFonts w:ascii="Arial" w:cs="Arial" w:eastAsia="Arial" w:hAnsi="Arial"/>
          <w:sz w:val="22"/>
          <w:szCs w:val="22"/>
        </w:rPr>
        <w:t xml:space="preserve">Quick_Screenshots/07_Locality_Network_Heatmap.png — Locality × network type performance heatmap</w:t>
      </w:r>
    </w:p>
    <w:p>
      <w:pPr>
        <w:pStyle w:val="ListParagraph"/>
        <w:numPr>
          <w:ilvl w:val="0"/>
          <w:numId w:val="2"/>
        </w:numPr>
        <w:spacing w:after="40" w:before="40"/>
      </w:pPr>
      <w:r>
        <w:rPr>
          <w:rFonts w:ascii="Arial" w:cs="Arial" w:eastAsia="Arial" w:hAnsi="Arial"/>
          <w:sz w:val="22"/>
          <w:szCs w:val="22"/>
        </w:rPr>
        <w:t xml:space="preserve">Quick_Screenshots/08_Throughput_Distribution.png — Overall throughput distribution</w:t>
      </w:r>
    </w:p>
    <w:p>
      <w:pPr>
        <w:pStyle w:val="ListParagraph"/>
        <w:numPr>
          <w:ilvl w:val="0"/>
          <w:numId w:val="2"/>
        </w:numPr>
        <w:spacing w:after="40" w:before="40"/>
      </w:pPr>
      <w:r>
        <w:rPr>
          <w:rFonts w:ascii="Arial" w:cs="Arial" w:eastAsia="Arial" w:hAnsi="Arial"/>
          <w:sz w:val="22"/>
          <w:szCs w:val="22"/>
        </w:rPr>
        <w:t xml:space="preserve">Quick_Screenshots/09_Latency_Distribution.png — Latency distribution with network-type bands</w:t>
      </w:r>
    </w:p>
    <w:p>
      <w:pPr>
        <w:pStyle w:val="ListParagraph"/>
        <w:numPr>
          <w:ilvl w:val="0"/>
          <w:numId w:val="2"/>
        </w:numPr>
        <w:spacing w:after="40" w:before="40"/>
      </w:pPr>
      <w:r>
        <w:rPr>
          <w:rFonts w:ascii="Arial" w:cs="Arial" w:eastAsia="Arial" w:hAnsi="Arial"/>
          <w:sz w:val="22"/>
          <w:szCs w:val="22"/>
        </w:rPr>
        <w:t xml:space="preserve">Quick_Screenshots/10_Network_Performance_Over_Time.png — Temporal performance trends (37-day window)</w:t>
      </w:r>
    </w:p>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6DA4"/>
          <w:sz w:val="26"/>
          <w:szCs w:val="26"/>
        </w:rPr>
        <w:t xml:space="preserve">External Research Sources</w:t>
      </w:r>
    </w:p>
    <w:p>
      <w:pPr>
        <w:pStyle w:val="ListParagraph"/>
        <w:numPr>
          <w:ilvl w:val="0"/>
          <w:numId w:val="2"/>
        </w:numPr>
        <w:spacing w:after="40" w:before="40"/>
      </w:pPr>
      <w:r>
        <w:rPr>
          <w:rFonts w:ascii="Arial" w:cs="Arial" w:eastAsia="Arial" w:hAnsi="Arial"/>
          <w:sz w:val="22"/>
          <w:szCs w:val="22"/>
        </w:rPr>
        <w:t xml:space="preserve">ITU-R Report M.2410-0 — Minimum requirements for IMT-2020: https://itu.int/dms_pub/itu-r/opb/rep/R-REP-M.2410-2017-PDF-E.pdf</w:t>
      </w:r>
    </w:p>
    <w:p>
      <w:pPr>
        <w:pStyle w:val="ListParagraph"/>
        <w:numPr>
          <w:ilvl w:val="0"/>
          <w:numId w:val="2"/>
        </w:numPr>
        <w:spacing w:after="40" w:before="40"/>
      </w:pPr>
      <w:r>
        <w:rPr>
          <w:rFonts w:ascii="Arial" w:cs="Arial" w:eastAsia="Arial" w:hAnsi="Arial"/>
          <w:sz w:val="22"/>
          <w:szCs w:val="22"/>
        </w:rPr>
        <w:t xml:space="preserve">Ookla / GSMA — Ookla's Take on Telco Trends in 2024: https://www.gsma.com/get-involved/gsma-membership/gsma_resources/ooklas-take-on-telco-trends-in-2024/</w:t>
      </w:r>
    </w:p>
    <w:p>
      <w:pPr>
        <w:pStyle w:val="ListParagraph"/>
        <w:numPr>
          <w:ilvl w:val="0"/>
          <w:numId w:val="2"/>
        </w:numPr>
        <w:spacing w:after="40" w:before="40"/>
      </w:pPr>
      <w:r>
        <w:rPr>
          <w:rFonts w:ascii="Arial" w:cs="Arial" w:eastAsia="Arial" w:hAnsi="Arial"/>
          <w:sz w:val="22"/>
          <w:szCs w:val="22"/>
        </w:rPr>
        <w:t xml:space="preserve">Ookla — Global Reach of 5G: https://www.ookla.com/articles/5g-global-reach-2024</w:t>
      </w:r>
    </w:p>
    <w:p>
      <w:pPr>
        <w:pStyle w:val="ListParagraph"/>
        <w:numPr>
          <w:ilvl w:val="0"/>
          <w:numId w:val="2"/>
        </w:numPr>
        <w:spacing w:after="40" w:before="40"/>
      </w:pPr>
      <w:r>
        <w:rPr>
          <w:rFonts w:ascii="Arial" w:cs="Arial" w:eastAsia="Arial" w:hAnsi="Arial"/>
          <w:sz w:val="22"/>
          <w:szCs w:val="22"/>
        </w:rPr>
        <w:t xml:space="preserve">Ookla — 5G SA Reality Check 2026: https://www.ookla.com/articles/5g-sa-2026</w:t>
      </w:r>
    </w:p>
    <w:p>
      <w:pPr>
        <w:pStyle w:val="ListParagraph"/>
        <w:numPr>
          <w:ilvl w:val="0"/>
          <w:numId w:val="2"/>
        </w:numPr>
        <w:spacing w:after="40" w:before="40"/>
      </w:pPr>
      <w:r>
        <w:rPr>
          <w:rFonts w:ascii="Arial" w:cs="Arial" w:eastAsia="Arial" w:hAnsi="Arial"/>
          <w:sz w:val="22"/>
          <w:szCs w:val="22"/>
        </w:rPr>
        <w:t xml:space="preserve">Ookla — US Speedtest Report H2 2025: https://www.ookla.com/research/reports/united-states-speedtest-connectivity-report-h2-2025</w:t>
      </w:r>
    </w:p>
    <w:p>
      <w:pPr>
        <w:pStyle w:val="ListParagraph"/>
        <w:numPr>
          <w:ilvl w:val="0"/>
          <w:numId w:val="2"/>
        </w:numPr>
        <w:spacing w:after="40" w:before="40"/>
      </w:pPr>
      <w:r>
        <w:rPr>
          <w:rFonts w:ascii="Arial" w:cs="Arial" w:eastAsia="Arial" w:hAnsi="Arial"/>
          <w:sz w:val="22"/>
          <w:szCs w:val="22"/>
        </w:rPr>
        <w:t xml:space="preserve">Ericsson Mobility Report (GCC): https://www.ericsson.com/en/reports-and-papers/mobility-report/closer-look/gcc</w:t>
      </w:r>
    </w:p>
    <w:p>
      <w:pPr>
        <w:pStyle w:val="ListParagraph"/>
        <w:numPr>
          <w:ilvl w:val="0"/>
          <w:numId w:val="2"/>
        </w:numPr>
        <w:spacing w:after="40" w:before="40"/>
      </w:pPr>
      <w:r>
        <w:rPr>
          <w:rFonts w:ascii="Arial" w:cs="Arial" w:eastAsia="Arial" w:hAnsi="Arial"/>
          <w:sz w:val="22"/>
          <w:szCs w:val="22"/>
        </w:rPr>
        <w:t xml:space="preserve">Ericsson Mobility Report — Service Packaging June 2026: https://www.ericsson.com/en/reports-and-papers/mobility-report/articles/service-packaging-differentiated-connectivity-june-2026</w:t>
      </w:r>
    </w:p>
    <w:p>
      <w:pPr>
        <w:pStyle w:val="ListParagraph"/>
        <w:numPr>
          <w:ilvl w:val="0"/>
          <w:numId w:val="2"/>
        </w:numPr>
        <w:spacing w:after="40" w:before="40"/>
      </w:pPr>
      <w:r>
        <w:rPr>
          <w:rFonts w:ascii="Arial" w:cs="Arial" w:eastAsia="Arial" w:hAnsi="Arial"/>
          <w:sz w:val="22"/>
          <w:szCs w:val="22"/>
        </w:rPr>
        <w:t xml:space="preserve">GSMA — India 5G Spectrum: https://www.gsma.com/connectivity-for-good/spectrum/?p=12387</w:t>
      </w:r>
    </w:p>
    <w:p>
      <w:pPr>
        <w:pStyle w:val="ListParagraph"/>
        <w:numPr>
          <w:ilvl w:val="0"/>
          <w:numId w:val="2"/>
        </w:numPr>
        <w:spacing w:after="40" w:before="40"/>
      </w:pPr>
      <w:r>
        <w:rPr>
          <w:rFonts w:ascii="Arial" w:cs="Arial" w:eastAsia="Arial" w:hAnsi="Arial"/>
          <w:sz w:val="22"/>
          <w:szCs w:val="22"/>
        </w:rPr>
        <w:t xml:space="preserve">Nokia MBiT Index 2026: https://www.nokia.com/sites/default/files/2026-03/nokia-mbit-2026.pdf</w:t>
      </w:r>
    </w:p>
    <w:p>
      <w:pPr>
        <w:pStyle w:val="ListParagraph"/>
        <w:numPr>
          <w:ilvl w:val="0"/>
          <w:numId w:val="2"/>
        </w:numPr>
        <w:spacing w:after="40" w:before="40"/>
      </w:pPr>
      <w:r>
        <w:rPr>
          <w:rFonts w:ascii="Arial" w:cs="Arial" w:eastAsia="Arial" w:hAnsi="Arial"/>
          <w:sz w:val="22"/>
          <w:szCs w:val="22"/>
        </w:rPr>
        <w:t xml:space="preserve">Berg Insight / ComputerWeekly — Private 5G Deployments 2025: https://www.computerweekly.com/news/366638797/Private-LTE-5G-networks-reached-6500-deployments-in-2025</w:t>
      </w:r>
    </w:p>
    <w:p>
      <w:pPr>
        <w:pStyle w:val="ListParagraph"/>
        <w:numPr>
          <w:ilvl w:val="0"/>
          <w:numId w:val="2"/>
        </w:numPr>
        <w:spacing w:after="40" w:before="40"/>
      </w:pPr>
      <w:r>
        <w:rPr>
          <w:rFonts w:ascii="Arial" w:cs="Arial" w:eastAsia="Arial" w:hAnsi="Arial"/>
          <w:sz w:val="22"/>
          <w:szCs w:val="22"/>
        </w:rPr>
        <w:t xml:space="preserve">3GPP LTE-Advanced Overview: http://www.3gpp.org/img/pdf/lte_advanced_v2.pdf</w:t>
      </w:r>
    </w:p>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3864"/>
          <w:sz w:val="32"/>
          <w:szCs w:val="32"/>
        </w:rPr>
        <w:t xml:space="preserve">19. Final Conclusion</w:t>
      </w:r>
    </w:p>
    <w:p>
      <w:pPr>
        <w:spacing w:after="120" w:before="0" w:line="276"/>
        <w:jc w:val="left"/>
      </w:pPr>
      <w:r>
        <w:rPr>
          <w:rFonts w:ascii="Arial" w:cs="Arial" w:eastAsia="Arial" w:hAnsi="Arial"/>
          <w:b w:val="false"/>
          <w:bCs w:val="false"/>
          <w:i w:val="false"/>
          <w:iCs w:val="false"/>
          <w:color w:val="000000"/>
          <w:sz w:val="22"/>
          <w:szCs w:val="22"/>
        </w:rPr>
        <w:t xml:space="preserve">The NOVASPHERE dataset provides a verified, evidence-based baseline for cellular network performance intelligence across four network technology generations. The analysis confirms substantial observed performance differences between 5G and legacy technologies — an 8.4× throughput advantage and 60% latency reduction versus 4G — establishing 5G as the strongest observed source of performance differentiation in this dataset.</w:t>
      </w:r>
    </w:p>
    <w:p>
      <w:pPr>
        <w:spacing w:after="120" w:before="0" w:line="276"/>
        <w:jc w:val="left"/>
      </w:pPr>
      <w:r>
        <w:rPr>
          <w:rFonts w:ascii="Arial" w:cs="Arial" w:eastAsia="Arial" w:hAnsi="Arial"/>
          <w:b w:val="false"/>
          <w:bCs w:val="false"/>
          <w:i w:val="false"/>
          <w:iCs w:val="false"/>
          <w:color w:val="000000"/>
          <w:sz w:val="22"/>
          <w:szCs w:val="22"/>
        </w:rPr>
        <w:t xml:space="preserve">The observed 5G performance (54.58 Mbps / 29.86 ms) falls below global commercial benchmarks, and the gap warrants investigation into deployment architecture, spectrum allocation, and network maturity. The dataset's moderate signal-performance associations (r² ≈ 0.23–0.25) reflect network-type mix (within each network type |r| &lt; 0.03), so signal strength alone should not be used to predict or optimize performance, and that multi-factor investigation is warranted.</w:t>
      </w:r>
    </w:p>
    <w:p>
      <w:pPr>
        <w:spacing w:after="120" w:before="0" w:line="276"/>
        <w:jc w:val="left"/>
      </w:pPr>
      <w:r>
        <w:rPr>
          <w:rFonts w:ascii="Arial" w:cs="Arial" w:eastAsia="Arial" w:hAnsi="Arial"/>
          <w:b w:val="false"/>
          <w:bCs w:val="false"/>
          <w:i w:val="false"/>
          <w:iCs w:val="false"/>
          <w:color w:val="000000"/>
          <w:sz w:val="22"/>
          <w:szCs w:val="22"/>
        </w:rPr>
        <w:t xml:space="preserve">These findings support further investigation of private 5G suitability for bandwidth-intensive enterprise applications. They do not constitute an investment recommendation, market opportunity assessment, or proof of commercial viability.</w:t>
      </w:r>
    </w:p>
    <w:p>
      <w:pPr>
        <w:spacing w:after="200" w:before="0" w:line="276"/>
        <w:jc w:val="left"/>
      </w:pPr>
      <w:r>
        <w:rPr>
          <w:rFonts w:ascii="Arial" w:cs="Arial" w:eastAsia="Arial" w:hAnsi="Arial"/>
          <w:b w:val="false"/>
          <w:bCs w:val="false"/>
          <w:i w:val="false"/>
          <w:iCs w:val="false"/>
          <w:color w:val="000000"/>
          <w:sz w:val="22"/>
          <w:szCs w:val="22"/>
        </w:rPr>
        <w:t xml:space="preserve">The highest-value next steps are: (1) obtaining frequency-band and architecture metadata for the existing dataset; (2) collecting subscriber-load and cell-tower data; and (3) expanding the geographic and temporal scope of measurement. These additions would substantially improve the evidential foundation for technology planning decisions.</w:t>
      </w:r>
    </w:p>
    <w:p>
      <w:pPr>
        <w:pBdr>
          <w:bottom w:val="single" w:color="1F3864" w:sz="4"/>
        </w:pBdr>
        <w:spacing w:after="80" w:before="80"/>
      </w:pPr>
      <w:r>
        <w:t xml:space="preserve"/>
      </w:r>
    </w:p>
    <w:p>
      <w:pPr>
        <w:spacing w:after="80" w:before="0" w:line="276"/>
        <w:jc w:val="center"/>
      </w:pPr>
      <w:r>
        <w:rPr>
          <w:rFonts w:ascii="Arial" w:cs="Arial" w:eastAsia="Arial" w:hAnsi="Arial"/>
          <w:b w:val="false"/>
          <w:bCs w:val="false"/>
          <w:i w:val="false"/>
          <w:iCs w:val="false"/>
          <w:color w:val="666666"/>
          <w:sz w:val="19"/>
          <w:szCs w:val="19"/>
        </w:rPr>
        <w:t xml:space="preserve">Document 2 of 4 | NOVASPHERE Cellular Network Performance Project | Udacity Nanodegree Project 2 | October 4, 2026</w:t>
      </w:r>
    </w:p>
    <w:p>
      <w:r>
        <w:t>[VERIFIED DATASET FACT] Across the 20 localities, 5G share and locality-average throughput show a strong positive Pearson association (r = 0.901597, r² = 0.812879, p = 5.72 × 10⁻⁸). This is an observed association within this dataset, not evidence that 5G share causes higher locality throughput.</w:t>
      </w:r>
    </w:p>
    <w:p>
      <w:r>
        <w:t>Evidence Reference: Quick_Screenshots/34_Locality_5G_Share_Correlation.png</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666666"/>
        <w:sz w:val="18"/>
        <w:szCs w:val="18"/>
      </w:rPr>
      <w:t xml:space="preserve">Document 2 of 4 | Udacity Nanodegree Project 2 | Patna, India | 16,829 Records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jc w:val="right"/>
    </w:pPr>
    <w:r>
      <w:rPr>
        <w:rFonts w:ascii="Arial" w:cs="Arial" w:eastAsia="Arial" w:hAnsi="Arial"/>
        <w:color w:val="1F3864"/>
        <w:sz w:val="18"/>
        <w:szCs w:val="18"/>
      </w:rPr>
      <w:t xml:space="preserve">NOVASPHERE • Cellular Network Market &amp; Technology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pPr>
    <w:rPr>
      <w:rFonts w:ascii="Arial" w:cs="Arial" w:eastAsia="Arial" w:hAnsi="Arial"/>
      <w:sz w:val="22"/>
      <w:szCs w:val="22"/>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3333"/>
      <w:sz w:val="24"/>
      <w:szCs w:val="24"/>
    </w:rPr>
  </w:style>
  <w:style w:type="paragraph" w:styleId="CoverTitle">
    <w:name w:val="Cover Title"/>
    <w:basedOn w:val="Normal"/>
    <w:qFormat/>
    <w:pPr>
      <w:spacing w:after="120" w:before="0"/>
      <w:jc w:val="center"/>
    </w:pPr>
    <w:rPr>
      <w:rFonts w:ascii="Arial" w:cs="Arial" w:eastAsia="Arial" w:hAnsi="Arial"/>
      <w:b/>
      <w:bCs/>
      <w:color w:val="1F3864"/>
      <w:sz w:val="56"/>
      <w:szCs w:val="56"/>
    </w:rPr>
  </w:style>
  <w:style w:type="paragraph" w:styleId="CoverSub">
    <w:name w:val="Cover Sub"/>
    <w:basedOn w:val="Normal"/>
    <w:pPr>
      <w:spacing w:after="80" w:before="0"/>
      <w:jc w:val="center"/>
    </w:pPr>
    <w:rPr>
      <w:rFonts w:ascii="Arial" w:cs="Arial" w:eastAsia="Arial" w:hAnsi="Arial"/>
      <w:color w:val="2E6DA4"/>
      <w:sz w:val="32"/>
      <w:szCs w:val="32"/>
    </w:rPr>
  </w:style>
  <w:style w:type="paragraph" w:styleId="CoverMeta">
    <w:name w:val="Cover Meta"/>
    <w:basedOn w:val="Normal"/>
    <w:pPr>
      <w:spacing w:after="80" w:before="0"/>
      <w:jc w:val="center"/>
    </w:pPr>
    <w:rPr>
      <w:rFonts w:ascii="Arial" w:cs="Arial" w:eastAsia="Arial" w:hAnsi="Arial"/>
      <w:color w:val="555555"/>
      <w:sz w:val="22"/>
      <w:szCs w:val="22"/>
    </w:rPr>
  </w:style>
  <w:style w:type="paragraph" w:styleId="Evidence">
    <w:name w:val="Evidence"/>
    <w:basedOn w:val="Normal"/>
    <w:pPr>
      <w:pBdr>
        <w:left w:val="single" w:color="2E6DA4" w:sz="8"/>
      </w:pBdr>
      <w:spacing w:after="80" w:before="80"/>
      <w:ind w:left="360"/>
    </w:pPr>
    <w:rPr>
      <w:rFonts w:ascii="Arial" w:cs="Arial" w:eastAsia="Arial" w:hAnsi="Arial"/>
      <w:i/>
      <w:iCs/>
      <w:color w:val="666666"/>
      <w:sz w:val="19"/>
      <w:szCs w:val="19"/>
    </w:rPr>
  </w:style>
  <w:style w:type="paragraph" w:styleId="BodyText">
    <w:name w:val="Body Text"/>
    <w:basedOn w:val="Normal"/>
    <w:pPr>
      <w:spacing w:after="160" w:line="276"/>
    </w:pPr>
    <w:rPr>
      <w:rFonts w:ascii="Arial" w:cs="Arial" w:eastAsia="Arial" w:hAnsi="Arial"/>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2E1417-AB01-45D6-8728-2F2B2E57C60D}">
  <we:reference id="WA200010615" version="1.0.10036.0" store="en-us" storeType="OMEX"/>
  <we:alternateReferences/>
  <we:properties>
    <we:property name="Office.AutoShowTaskpaneWithDocument" value="true"/>
    <we:property name="conversationId" value="&quot;a0c1e067-9180-490b-bce2-9e62ab96e0c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2026-10-04T13:53:51.985Z</dcterms:created>
  <dcterms:modified xsi:type="dcterms:W3CDTF">2026-10-04T13:53:51.986Z</dcterms:modified>
</cp:coreProperties>
</file>

<file path=docProps/custom.xml><?xml version="1.0" encoding="utf-8"?>
<Properties xmlns="http://schemas.openxmlformats.org/officeDocument/2006/custom-properties" xmlns:vt="http://schemas.openxmlformats.org/officeDocument/2006/docPropsVTypes"/>
</file>