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120"/>
        <w:jc w:val="center"/>
      </w:pPr>
      <w:r>
        <w:rPr>
          <w:b/>
          <w:bCs/>
          <w:caps/>
          <w:color w:val="2E7D82"/>
          <w:spacing w:val="20"/>
          <w:sz w:val="24"/>
          <w:szCs w:val="24"/>
        </w:rPr>
        <w:t xml:space="preserve">EXECUTIVE SUMMARY</w:t>
      </w:r>
    </w:p>
    <w:p>
      <w:pPr>
        <w:spacing w:after="80"/>
        <w:jc w:val="center"/>
      </w:pPr>
      <w:r>
        <w:rPr>
          <w:b/>
          <w:bCs/>
          <w:color w:val="1B2A4A"/>
          <w:sz w:val="38"/>
          <w:szCs w:val="38"/>
        </w:rPr>
        <w:t xml:space="preserve">Customer Engagement &amp; Product Utilization Analytics</w:t>
      </w:r>
    </w:p>
    <w:p>
      <w:pPr>
        <w:spacing w:after="300"/>
        <w:jc w:val="center"/>
      </w:pPr>
      <w:r>
        <w:rPr>
          <w:b/>
          <w:bCs/>
          <w:color w:val="1B2A4A"/>
          <w:sz w:val="38"/>
          <w:szCs w:val="38"/>
        </w:rPr>
        <w:t xml:space="preserve">for Retention Strategy</w:t>
      </w:r>
    </w:p>
    <w:p>
      <w:pPr>
        <w:spacing w:after="500"/>
        <w:jc w:val="center"/>
      </w:pPr>
      <w:r>
        <w:rPr>
          <w:i/>
          <w:iCs/>
          <w:color w:val="5A6472"/>
          <w:sz w:val="23"/>
          <w:szCs w:val="23"/>
        </w:rPr>
        <w:t xml:space="preserve">Prepared for Government and Regulatory Stakeholders</w:t>
      </w:r>
    </w:p>
    <w:p>
      <w:pPr>
        <w:spacing w:after="40"/>
        <w:jc w:val="center"/>
      </w:pPr>
      <w:r>
        <w:rPr>
          <w:color w:val="333333"/>
          <w:sz w:val="20"/>
          <w:szCs w:val="20"/>
        </w:rPr>
        <w:t xml:space="preserve">Unified Mentor — European Central Bank Retention Analytics Engagement</w:t>
      </w:r>
    </w:p>
    <w:p>
      <w:pPr>
        <w:spacing w:after="40"/>
        <w:jc w:val="center"/>
      </w:pPr>
      <w:r>
        <w:rPr>
          <w:color w:val="333333"/>
          <w:sz w:val="20"/>
          <w:szCs w:val="20"/>
        </w:rPr>
        <w:t xml:space="preserve">Basis: 10,000 retail banking customer records, reference year 2025</w:t>
      </w:r>
    </w:p>
    <w:p>
      <w:pPr>
        <w:jc w:val="center"/>
      </w:pPr>
      <w:r>
        <w:rPr>
          <w:color w:val="5A6472"/>
          <w:sz w:val="19"/>
          <w:szCs w:val="19"/>
        </w:rPr>
        <w:t xml:space="preserve">August 2026</w:t>
      </w:r>
    </w:p>
    <w:p>
      <w:pPr>
        <w:spacing w:after="300"/>
      </w:pPr>
    </w:p>
    <w:p>
      <w:pPr>
        <w:pStyle w:val="Heading1"/>
        <w:pBdr>
          <w:bottom w:val="single" w:color="1B2A4A" w:sz="8" w:space="4"/>
        </w:pBdr>
        <w:spacing w:after="200" w:before="400"/>
      </w:pPr>
      <w:r>
        <w:rPr>
          <w:b/>
          <w:bCs/>
          <w:color w:val="1B2A4A"/>
          <w:sz w:val="30"/>
          <w:szCs w:val="30"/>
        </w:rPr>
        <w:t xml:space="preserve">Purpose of This Summary</w:t>
      </w:r>
    </w:p>
    <w:p>
      <w:pPr>
        <w:spacing w:after="180" w:line="288"/>
        <w:jc w:val="both"/>
      </w:pPr>
      <w:r>
        <w:rPr>
          <w:color w:val="222222"/>
          <w:sz w:val="21"/>
          <w:szCs w:val="21"/>
        </w:rPr>
        <w:t xml:space="preserve">This document summarizes, for a non-technical government and regulatory audience, the findings of a customer engagement and product utilization analysis conducted on retail banking data spanning three European markets: France, Germany, and Spain. The underlying study examines why customers leave their bank (“churn”), and finds that behavioral engagement — not income, wealth, or demographic profile — is the strongest driver of customer retention. This has direct relevance to financial consumer protection, market stability, and oversight of retail banking practices, particularly around product bundling and treatment of financially vulnerable or disengaged customers.</w:t>
      </w:r>
    </w:p>
    <w:p>
      <w:pPr>
        <w:spacing w:after="120"/>
      </w:pPr>
    </w:p>
    <w:p>
      <w:pPr>
        <w:pStyle w:val="Heading1"/>
        <w:pBdr>
          <w:bottom w:val="single" w:color="1B2A4A" w:sz="8" w:space="4"/>
        </w:pBdr>
        <w:spacing w:after="200" w:before="400"/>
      </w:pPr>
      <w:r>
        <w:rPr>
          <w:b/>
          <w:bCs/>
          <w:color w:val="1B2A4A"/>
          <w:sz w:val="30"/>
          <w:szCs w:val="30"/>
        </w:rPr>
        <w:t xml:space="preserve">Why This Matters for Policy and Oversight</w:t>
      </w:r>
    </w:p>
    <w:p>
      <w:pPr>
        <w:pStyle w:val="ListParagraph"/>
        <w:numPr>
          <w:ilvl w:val="0"/>
          <w:numId w:val="1"/>
        </w:numPr>
        <w:spacing w:after="90" w:line="276"/>
      </w:pPr>
      <w:r>
        <w:rPr>
          <w:color w:val="222222"/>
          <w:sz w:val="21"/>
          <w:szCs w:val="21"/>
        </w:rPr>
        <w:t xml:space="preserve">Consumer protection: the analysis finds that pushing customers into three or four banking products is strongly associated with the customer leaving the bank entirely — a pattern consistent with product over-selling or bundling practices that regulators may wish to monitor.</w:t>
      </w:r>
    </w:p>
    <w:p>
      <w:pPr>
        <w:pStyle w:val="ListParagraph"/>
        <w:numPr>
          <w:ilvl w:val="0"/>
          <w:numId w:val="1"/>
        </w:numPr>
        <w:spacing w:after="90" w:line="276"/>
      </w:pPr>
      <w:r>
        <w:rPr>
          <w:color w:val="222222"/>
          <w:sz w:val="21"/>
          <w:szCs w:val="21"/>
        </w:rPr>
        <w:t xml:space="preserve">Financial inclusion and fairness: churn is not concentrated among low-balance or low-income customers. Wealthier, higher-balance customers who become disengaged are, in fact, the group at greatest risk — raising questions about whether current relationship-management practices adequately serve all customer segments.</w:t>
      </w:r>
    </w:p>
    <w:p>
      <w:pPr>
        <w:pStyle w:val="ListParagraph"/>
        <w:numPr>
          <w:ilvl w:val="0"/>
          <w:numId w:val="1"/>
        </w:numPr>
        <w:spacing w:after="90" w:line="276"/>
      </w:pPr>
      <w:r>
        <w:rPr>
          <w:color w:val="222222"/>
          <w:sz w:val="21"/>
          <w:szCs w:val="21"/>
        </w:rPr>
        <w:t xml:space="preserve">Market stability: sudden, engagement-driven account closures can affect deposit stability at a market level; Germany, in this dataset, shows a materially elevated closure rate alongside above-average balances, which may warrant closer supervisory attention.</w:t>
      </w:r>
    </w:p>
    <w:p>
      <w:pPr>
        <w:spacing w:after="120"/>
      </w:pPr>
    </w:p>
    <w:p>
      <w:r>
        <w:br w:type="page"/>
      </w:r>
    </w:p>
    <w:p>
      <w:pPr>
        <w:pStyle w:val="Heading1"/>
        <w:pBdr>
          <w:bottom w:val="single" w:color="1B2A4A" w:sz="8" w:space="4"/>
        </w:pBdr>
        <w:spacing w:after="200" w:before="400"/>
      </w:pPr>
      <w:r>
        <w:rPr>
          <w:b/>
          <w:bCs/>
          <w:color w:val="1B2A4A"/>
          <w:sz w:val="30"/>
          <w:szCs w:val="30"/>
        </w:rPr>
        <w:t xml:space="preserve">Headline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D82" w:sz="16"/>
              <w:left w:val="single" w:color="2E7D82" w:sz="16"/>
              <w:bottom w:val="single" w:color="E7F0EF" w:sz="2"/>
              <w:right w:val="single" w:color="E7F0EF" w:sz="2"/>
            </w:tcBorders>
            <w:shd w:fill="E7F0EF" w:val="clear"/>
            <w:tcMar>
              <w:top w:type="dxa" w:w="160"/>
              <w:left w:type="dxa" w:w="220"/>
              <w:bottom w:type="dxa" w:w="160"/>
              <w:right w:type="dxa" w:w="220"/>
            </w:tcMar>
          </w:tcPr>
          <w:p>
            <w:pPr>
              <w:spacing w:after="80"/>
            </w:pPr>
            <w:r>
              <w:rPr>
                <w:b/>
                <w:bCs/>
                <w:color w:val="1B2A4A"/>
                <w:sz w:val="21"/>
                <w:szCs w:val="21"/>
              </w:rPr>
              <w:t xml:space="preserve">1. Engagement predicts loyalty better than wealth</w:t>
            </w:r>
          </w:p>
          <w:p>
            <w:pPr>
              <w:spacing w:after="0"/>
            </w:pPr>
            <w:r>
              <w:rPr>
                <w:color w:val="222222"/>
                <w:sz w:val="20"/>
                <w:szCs w:val="20"/>
              </w:rPr>
              <w:t xml:space="preserve">Active, engaged customers leave the bank at 9.7%–14.3%. Disengaged customers — even wealthy ones — leave at 21%–33%. Financial standing alone does not protect against customer loss.</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5474D" w:sz="16"/>
              <w:left w:val="single" w:color="B5474D" w:sz="16"/>
              <w:bottom w:val="single" w:color="E7F0EF" w:sz="2"/>
              <w:right w:val="single" w:color="E7F0EF" w:sz="2"/>
            </w:tcBorders>
            <w:shd w:fill="E7F0EF" w:val="clear"/>
            <w:tcMar>
              <w:top w:type="dxa" w:w="160"/>
              <w:left w:type="dxa" w:w="220"/>
              <w:bottom w:type="dxa" w:w="160"/>
              <w:right w:type="dxa" w:w="220"/>
            </w:tcMar>
          </w:tcPr>
          <w:p>
            <w:pPr>
              <w:spacing w:after="80"/>
            </w:pPr>
            <w:r>
              <w:rPr>
                <w:b/>
                <w:bCs/>
                <w:color w:val="1B2A4A"/>
                <w:sz w:val="21"/>
                <w:szCs w:val="21"/>
              </w:rPr>
              <w:t xml:space="preserve">2. Over-bundling is associated with very high customer loss</w:t>
            </w:r>
          </w:p>
          <w:p>
            <w:pPr>
              <w:spacing w:after="0"/>
            </w:pPr>
            <w:r>
              <w:rPr>
                <w:color w:val="222222"/>
                <w:sz w:val="20"/>
                <w:szCs w:val="20"/>
              </w:rPr>
              <w:t xml:space="preserve">Customers with two well-matched products are the most loyal (7.6% churn). Customers pushed to three or four products show churn rates of 82.7% and 100% — a pattern consistent with product mis-selling or poor product fit rather than genuine loyalty-building.</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15A" w:sz="16"/>
              <w:left w:val="single" w:color="C9A15A" w:sz="16"/>
              <w:bottom w:val="single" w:color="E7F0EF" w:sz="2"/>
              <w:right w:val="single" w:color="E7F0EF" w:sz="2"/>
            </w:tcBorders>
            <w:shd w:fill="E7F0EF" w:val="clear"/>
            <w:tcMar>
              <w:top w:type="dxa" w:w="160"/>
              <w:left w:type="dxa" w:w="220"/>
              <w:bottom w:type="dxa" w:w="160"/>
              <w:right w:type="dxa" w:w="220"/>
            </w:tcMar>
          </w:tcPr>
          <w:p>
            <w:pPr>
              <w:spacing w:after="80"/>
            </w:pPr>
            <w:r>
              <w:rPr>
                <w:b/>
                <w:bCs/>
                <w:color w:val="1B2A4A"/>
                <w:sz w:val="21"/>
                <w:szCs w:val="21"/>
              </w:rPr>
              <w:t xml:space="preserve">3. A small group of high-value customers is quietly leaving</w:t>
            </w:r>
          </w:p>
          <w:p>
            <w:pPr>
              <w:spacing w:after="0"/>
            </w:pPr>
            <w:r>
              <w:rPr>
                <w:color w:val="222222"/>
                <w:sz w:val="20"/>
                <w:szCs w:val="20"/>
              </w:rPr>
              <w:t xml:space="preserve">About 3 in 100 customers are both financially significant (top-quartile balance and income) and currently disengaged from the bank. This group churns at 32%, roughly 1.5 times the overall average, and represents disproportionate value at risk.</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B2A4A" w:sz="16"/>
              <w:left w:val="single" w:color="1B2A4A" w:sz="16"/>
              <w:bottom w:val="single" w:color="E7F0EF" w:sz="2"/>
              <w:right w:val="single" w:color="E7F0EF" w:sz="2"/>
            </w:tcBorders>
            <w:shd w:fill="E7F0EF" w:val="clear"/>
            <w:tcMar>
              <w:top w:type="dxa" w:w="160"/>
              <w:left w:type="dxa" w:w="220"/>
              <w:bottom w:type="dxa" w:w="160"/>
              <w:right w:type="dxa" w:w="220"/>
            </w:tcMar>
          </w:tcPr>
          <w:p>
            <w:pPr>
              <w:spacing w:after="80"/>
            </w:pPr>
            <w:r>
              <w:rPr>
                <w:b/>
                <w:bCs/>
                <w:color w:val="1B2A4A"/>
                <w:sz w:val="21"/>
                <w:szCs w:val="21"/>
              </w:rPr>
              <w:t xml:space="preserve">4. One market shows materially elevated risk</w:t>
            </w:r>
          </w:p>
          <w:p>
            <w:pPr>
              <w:spacing w:after="0"/>
            </w:pPr>
            <w:r>
              <w:rPr>
                <w:color w:val="222222"/>
                <w:sz w:val="20"/>
                <w:szCs w:val="20"/>
              </w:rPr>
              <w:t xml:space="preserve">Customers in Germany leave the bank at roughly twice the rate seen in France and Spain, while also holding the highest average account balances of the three markets — combining elevated risk with elevated financial stakes.</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B2A4A" w:val="clear"/>
            <w:tcMar>
              <w:top w:type="dxa" w:w="100"/>
              <w:left w:type="dxa" w:w="120"/>
              <w:bottom w:type="dxa" w:w="100"/>
              <w:right w:type="dxa" w:w="120"/>
            </w:tcMar>
            <w:vAlign w:val="center"/>
          </w:tcPr>
          <w:p>
            <w:pPr>
              <w:jc w:val="left"/>
            </w:pPr>
            <w:r>
              <w:rPr>
                <w:b/>
                <w:bCs/>
                <w:color w:val="FFFFFF"/>
                <w:sz w:val="19"/>
                <w:szCs w:val="19"/>
              </w:rPr>
              <w:t xml:space="preserve">Metric</w:t>
            </w:r>
          </w:p>
        </w:tc>
        <w:tc>
          <w:tcPr>
            <w:tcW w:type="dxa" w:w="4800"/>
            <w:shd w:fill="1B2A4A" w:val="clear"/>
            <w:tcMar>
              <w:top w:type="dxa" w:w="100"/>
              <w:left w:type="dxa" w:w="120"/>
              <w:bottom w:type="dxa" w:w="100"/>
              <w:right w:type="dxa" w:w="120"/>
            </w:tcMar>
            <w:vAlign w:val="center"/>
          </w:tcPr>
          <w:p>
            <w:pPr>
              <w:jc w:val="left"/>
            </w:pPr>
            <w:r>
              <w:rPr>
                <w:b/>
                <w:bCs/>
                <w:color w:val="FFFFFF"/>
                <w:sz w:val="19"/>
                <w:szCs w:val="19"/>
              </w:rPr>
              <w:t xml:space="preserve">Finding</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Overall customer loss (churn) rate</w:t>
            </w:r>
          </w:p>
        </w:tc>
        <w:tc>
          <w:tcPr>
            <w:tcW w:type="dxa" w:w="4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20.4% of customers over the study period</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Engagement Retention Ratio</w:t>
            </w:r>
          </w:p>
        </w:tc>
        <w:tc>
          <w:tcPr>
            <w:tcW w:type="dxa" w:w="4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Disengaged customers leave at 1.88× the rate of engaged customers</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Product Depth Index</w:t>
            </w:r>
          </w:p>
        </w:tc>
        <w:tc>
          <w:tcPr>
            <w:tcW w:type="dxa" w:w="4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72.6% lower churn moving a customer from 1 to 2 well-matched products</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High-Balance Disengagement Rate</w:t>
            </w:r>
          </w:p>
        </w:tc>
        <w:tc>
          <w:tcPr>
            <w:tcW w:type="dxa" w:w="4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30.5% churn among wealthy customers who are inactive</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At-risk premium customers</w:t>
            </w:r>
          </w:p>
        </w:tc>
        <w:tc>
          <w:tcPr>
            <w:tcW w:type="dxa" w:w="4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3.2% of the base; churn 32.1%</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Highest-risk market</w:t>
            </w:r>
          </w:p>
        </w:tc>
        <w:tc>
          <w:tcPr>
            <w:tcW w:type="dxa" w:w="4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Germany — 32.0% churn vs. 16–17% in France and Spain</w:t>
            </w:r>
          </w:p>
        </w:tc>
      </w:tr>
    </w:tbl>
    <w:p>
      <w:pPr>
        <w:spacing w:after="120"/>
      </w:pPr>
    </w:p>
    <w:p>
      <w:r>
        <w:br w:type="page"/>
      </w:r>
    </w:p>
    <w:p>
      <w:pPr>
        <w:pStyle w:val="Heading1"/>
        <w:pBdr>
          <w:bottom w:val="single" w:color="1B2A4A" w:sz="8" w:space="4"/>
        </w:pBdr>
        <w:spacing w:after="200" w:before="400"/>
      </w:pPr>
      <w:r>
        <w:rPr>
          <w:b/>
          <w:bCs/>
          <w:color w:val="1B2A4A"/>
          <w:sz w:val="30"/>
          <w:szCs w:val="30"/>
        </w:rPr>
        <w:t xml:space="preserve">Recommendations for Stakeholder Consideration</w:t>
      </w:r>
    </w:p>
    <w:p>
      <w:pPr>
        <w:pStyle w:val="Heading2"/>
        <w:spacing w:after="140" w:before="300"/>
      </w:pPr>
      <w:r>
        <w:rPr>
          <w:b/>
          <w:bCs/>
          <w:color w:val="2E7D82"/>
          <w:sz w:val="25"/>
          <w:szCs w:val="25"/>
        </w:rPr>
        <w:t xml:space="preserve">For Bank Leadership</w:t>
      </w:r>
    </w:p>
    <w:p>
      <w:pPr>
        <w:pStyle w:val="ListParagraph"/>
        <w:numPr>
          <w:ilvl w:val="0"/>
          <w:numId w:val="1"/>
        </w:numPr>
        <w:spacing w:after="90" w:line="276"/>
      </w:pPr>
      <w:r>
        <w:rPr>
          <w:color w:val="222222"/>
          <w:sz w:val="21"/>
          <w:szCs w:val="21"/>
        </w:rPr>
        <w:t xml:space="preserve">Prioritize proactive outreach to the identified at-risk premium customer segment before further attrition occurs.</w:t>
      </w:r>
    </w:p>
    <w:p>
      <w:pPr>
        <w:pStyle w:val="ListParagraph"/>
        <w:numPr>
          <w:ilvl w:val="0"/>
          <w:numId w:val="1"/>
        </w:numPr>
        <w:spacing w:after="90" w:line="276"/>
      </w:pPr>
      <w:r>
        <w:rPr>
          <w:color w:val="222222"/>
          <w:sz w:val="21"/>
          <w:szCs w:val="21"/>
        </w:rPr>
        <w:t xml:space="preserve">Review incentive structures that may be encouraging staff to sell more products than customers need or want.</w:t>
      </w:r>
    </w:p>
    <w:p>
      <w:pPr>
        <w:pStyle w:val="ListParagraph"/>
        <w:numPr>
          <w:ilvl w:val="0"/>
          <w:numId w:val="1"/>
        </w:numPr>
        <w:spacing w:after="90" w:line="276"/>
      </w:pPr>
      <w:r>
        <w:rPr>
          <w:color w:val="222222"/>
          <w:sz w:val="21"/>
          <w:szCs w:val="21"/>
        </w:rPr>
        <w:t xml:space="preserve">Establish market-specific retention plans, with immediate attention to Germany.</w:t>
      </w:r>
    </w:p>
    <w:p>
      <w:pPr>
        <w:pStyle w:val="Heading2"/>
        <w:spacing w:after="140" w:before="300"/>
      </w:pPr>
      <w:r>
        <w:rPr>
          <w:b/>
          <w:bCs/>
          <w:color w:val="2E7D82"/>
          <w:sz w:val="25"/>
          <w:szCs w:val="25"/>
        </w:rPr>
        <w:t xml:space="preserve">For Regulators and Supervisory Bodies</w:t>
      </w:r>
    </w:p>
    <w:p>
      <w:pPr>
        <w:pStyle w:val="ListParagraph"/>
        <w:numPr>
          <w:ilvl w:val="0"/>
          <w:numId w:val="1"/>
        </w:numPr>
        <w:spacing w:after="90" w:line="276"/>
      </w:pPr>
      <w:r>
        <w:rPr>
          <w:color w:val="222222"/>
          <w:sz w:val="21"/>
          <w:szCs w:val="21"/>
        </w:rPr>
        <w:t xml:space="preserve">Consider whether product-bundling practices associated with very high subsequent account closure rates (3–4 products) warrant supervisory inquiry into sales-conduct standards.</w:t>
      </w:r>
    </w:p>
    <w:p>
      <w:pPr>
        <w:pStyle w:val="ListParagraph"/>
        <w:numPr>
          <w:ilvl w:val="0"/>
          <w:numId w:val="1"/>
        </w:numPr>
        <w:spacing w:after="90" w:line="276"/>
      </w:pPr>
      <w:r>
        <w:rPr>
          <w:color w:val="222222"/>
          <w:sz w:val="21"/>
          <w:szCs w:val="21"/>
        </w:rPr>
        <w:t xml:space="preserve">Monitor whether disengagement-driven attrition is concentrated among any protected or vulnerable customer groups, to ensure equitable treatment across the customer base.</w:t>
      </w:r>
    </w:p>
    <w:p>
      <w:pPr>
        <w:pStyle w:val="ListParagraph"/>
        <w:numPr>
          <w:ilvl w:val="0"/>
          <w:numId w:val="1"/>
        </w:numPr>
        <w:spacing w:after="90" w:line="276"/>
      </w:pPr>
      <w:r>
        <w:rPr>
          <w:color w:val="222222"/>
          <w:sz w:val="21"/>
          <w:szCs w:val="21"/>
        </w:rPr>
        <w:t xml:space="preserve">Treat engagement-based early-warning indicators (such as the Relationship Strength Index used in this study) as a useful, non-intrusive complement to existing prudential and conduct monitoring.</w:t>
      </w:r>
    </w:p>
    <w:p>
      <w:pPr>
        <w:pStyle w:val="Heading2"/>
        <w:spacing w:after="140" w:before="300"/>
      </w:pPr>
      <w:r>
        <w:rPr>
          <w:b/>
          <w:bCs/>
          <w:color w:val="2E7D82"/>
          <w:sz w:val="25"/>
          <w:szCs w:val="25"/>
        </w:rPr>
        <w:t xml:space="preserve">For Consumer Protection Bodies</w:t>
      </w:r>
    </w:p>
    <w:p>
      <w:pPr>
        <w:pStyle w:val="ListParagraph"/>
        <w:numPr>
          <w:ilvl w:val="0"/>
          <w:numId w:val="1"/>
        </w:numPr>
        <w:spacing w:after="90" w:line="276"/>
      </w:pPr>
      <w:r>
        <w:rPr>
          <w:color w:val="222222"/>
          <w:sz w:val="21"/>
          <w:szCs w:val="21"/>
        </w:rPr>
        <w:t xml:space="preserve">Note that the customers most exposed to silent, unaddressed churn are not the financially vulnerable, but rather engaged-looking, high-balance customers whose disengagement can go unnoticed by standard relationship-management triggers.</w:t>
      </w:r>
    </w:p>
    <w:p>
      <w:pPr>
        <w:spacing w:after="120"/>
      </w:pPr>
    </w:p>
    <w:p>
      <w:pPr>
        <w:pStyle w:val="Heading1"/>
        <w:pBdr>
          <w:bottom w:val="single" w:color="1B2A4A" w:sz="8" w:space="4"/>
        </w:pBdr>
        <w:spacing w:after="200" w:before="400"/>
      </w:pPr>
      <w:r>
        <w:rPr>
          <w:b/>
          <w:bCs/>
          <w:color w:val="1B2A4A"/>
          <w:sz w:val="30"/>
          <w:szCs w:val="30"/>
        </w:rPr>
        <w:t xml:space="preserve">Scope and Limitations</w:t>
      </w:r>
    </w:p>
    <w:p>
      <w:pPr>
        <w:spacing w:after="180" w:line="288"/>
        <w:jc w:val="both"/>
      </w:pPr>
      <w:r>
        <w:rPr>
          <w:color w:val="222222"/>
          <w:sz w:val="21"/>
          <w:szCs w:val="21"/>
        </w:rPr>
        <w:t xml:space="preserve">This summary is based on a single-year snapshot of 10,000 customer records and describes statistical association, not proven cause and effect. It is intended to inform, not replace, the bank's own risk, conduct, and consumer-protection assessments. The full technical research paper, including methodology, complete statistical detail, and a live interactive analytics dashboard, is available as a companion deliverable to this summary.</w:t>
      </w:r>
    </w:p>
    <w:p>
      <w:pPr>
        <w:spacing w:after="120"/>
      </w:pPr>
    </w:p>
    <w:p>
      <w:pPr>
        <w:spacing w:after="180" w:line="288"/>
        <w:jc w:val="both"/>
      </w:pPr>
      <w:r>
        <w:rPr>
          <w:color w:val="222222"/>
          <w:sz w:val="21"/>
          <w:szCs w:val="21"/>
        </w:rPr>
        <w:t xml:space="preserve">Prepared by the Customer Analytics &amp; Retention Strategy Team for Unified Mentor, in the context of a European Central Bank retention-analytics engagement, August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5"/>
        <w:szCs w:val="15"/>
      </w:rPr>
      <w:t xml:space="preserve">Executive Summary — Government &amp; Regulatory Stakeholders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2026-08-29T11:05:50.647Z</dcterms:created>
  <dcterms:modified xsi:type="dcterms:W3CDTF">2026-08-29T11:05:50.648Z</dcterms:modified>
</cp:coreProperties>
</file>

<file path=docProps/custom.xml><?xml version="1.0" encoding="utf-8"?>
<Properties xmlns="http://schemas.openxmlformats.org/officeDocument/2006/custom-properties" xmlns:vt="http://schemas.openxmlformats.org/officeDocument/2006/docPropsVTypes"/>
</file>