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2026-05-24 19:22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155. Разобрано строк: 48651.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858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744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119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658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517: readShapeElement — читает или восстанавливает состояние. Сигнатура: function readShapeElement(</w:t>
      </w:r>
    </w:p>
    <w:p>
      <w:r>
        <w:t xml:space="preserve">• Строка 539: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556: readAssetSettings — читает или восстанавливает состояние. Сигнатура: function readAssetSettings(</w:t>
      </w:r>
    </w:p>
    <w:p>
      <w:r>
        <w:t xml:space="preserve">• Строка 579: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598: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619: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638: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659: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684: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703: clampPercent — инкапсулирует отдельное действие, названное в имени функции. Сигнатура: function clampPercent(</w:t>
      </w:r>
    </w:p>
    <w:p>
      <w:r>
        <w:t xml:space="preserve">• Строка 717: clampNumber — инкапсулирует отдельное действие, названное в имени функции. Сигнатура: function clampNumber(</w:t>
      </w:r>
    </w:p>
    <w:p>
      <w:r>
        <w:t xml:space="preserve">• Строка 737: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63: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104: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382: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401: deleteMapShape — удаляет данные, классы или временное состояние. Сигнатура: export async function deleteMapShape(</w:t>
      </w:r>
    </w:p>
    <w:p>
      <w:r>
        <w:t xml:space="preserve">• Строка 425: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472: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497: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558: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568: refreshPageMetaFromContent — синхронизирует уже существующее состояние. Сигнатура: function refreshPageMetaFromContent(</w:t>
      </w:r>
    </w:p>
    <w:p>
      <w:r>
        <w:t xml:space="preserve">• Строка 591: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637: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**4.1 Описать единый контракт истории**.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**следующий активный большой архитектурный пункт**.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**частично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**не завершено**.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6.1.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6.2.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7.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7.1.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7.2.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8.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8.1.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8.2.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9.1.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9.2.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9.3.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9.4.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9.5.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9.6.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10.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10.1.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10.2.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10.3.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517) — читает или восстанавливает состояние.</w:t>
      </w:r>
    </w:p>
    <w:p>
      <w:r>
        <w:t xml:space="preserve">• ensureDatasetId (строка 539) — инкапсулирует отдельное действие, названное в имени функции.</w:t>
      </w:r>
    </w:p>
    <w:p>
      <w:r>
        <w:t xml:space="preserve">• readAssetSettings (строка 556) — читает или восстанавливает состояние.</w:t>
      </w:r>
    </w:p>
    <w:p>
      <w:r>
        <w:t xml:space="preserve">• normalizeGrid (строка 579) — инкапсулирует отдельное действие, названное в имени функции.</w:t>
      </w:r>
    </w:p>
    <w:p>
      <w:r>
        <w:t xml:space="preserve">• normalizeAssetSettings (строка 598) — инкапсулирует отдельное действие, названное в имени функции.</w:t>
      </w:r>
    </w:p>
    <w:p>
      <w:r>
        <w:t xml:space="preserve">• normalizeFog (строка 619) — инкапсулирует отдельное действие, названное в имени функции.</w:t>
      </w:r>
    </w:p>
    <w:p>
      <w:r>
        <w:t xml:space="preserve">• normalizeView (строка 638) — инкапсулирует отдельное действие, названное в имени функции.</w:t>
      </w:r>
    </w:p>
    <w:p>
      <w:r>
        <w:t xml:space="preserve">• normalizeToken (строка 659) — инкапсулирует отдельное действие, названное в имени функции.</w:t>
      </w:r>
    </w:p>
    <w:p>
      <w:r>
        <w:t xml:space="preserve">• normalizeShape (строка 684) — инкапсулирует отдельное действие, названное в имени функции.</w:t>
      </w:r>
    </w:p>
    <w:p>
      <w:r>
        <w:t xml:space="preserve">• clampPercent (строка 703) — инкапсулирует отдельное действие, названное в имени функции.</w:t>
      </w:r>
    </w:p>
    <w:p>
      <w:r>
        <w:t xml:space="preserve">• clampNumber (строка 717) — инкапсулирует отдельное действие, названное в имени функции.</w:t>
      </w:r>
    </w:p>
    <w:p>
      <w:r>
        <w:t xml:space="preserve">• isHexColor (строка 737)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63) — инкапсулирует отдельное действие, названное в имени функции.</w:t>
      </w:r>
    </w:p>
    <w:p>
      <w:r>
        <w:t xml:space="preserve">• syncOptionalDatasetValue (строка 104)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applyTokenRecordFromStore (строка 363) — инкапсулирует отдельное действие, названное в имени функции.</w:t>
      </w:r>
    </w:p>
    <w:p>
      <w:r>
        <w:t xml:space="preserve">• applyShapeRecordFromStore (строка 382) — инкапсулирует отдельное действие, названное в имени функции.</w:t>
      </w:r>
    </w:p>
    <w:p>
      <w:r>
        <w:t xml:space="preserve">• deleteMapShape (строка 401) — удаляет данные, классы или временное состояние.</w:t>
      </w:r>
    </w:p>
    <w:p>
      <w:r>
        <w:t xml:space="preserve">• duplicateMapShape (строка 425) — инкапсулирует отдельное действие, названное в имени функции.</w:t>
      </w:r>
    </w:p>
    <w:p>
      <w:r>
        <w:t xml:space="preserve">• ensureTokenHasHealthBlock (строка 472) — инкапсулирует отдельное действие, названное в имени функции.</w:t>
      </w:r>
    </w:p>
    <w:p>
      <w:r>
        <w:t xml:space="preserve">• addMapTokenFromExisting (строка 497) — инкапсулирует отдельное действие, названное в имени функции.</w:t>
      </w:r>
    </w:p>
    <w:p>
      <w:r>
        <w:t xml:space="preserve">• getNormalizedTokenType (строка 558) — возвращает найденное значение без побочного эффекта.</w:t>
      </w:r>
    </w:p>
    <w:p>
      <w:r>
        <w:t xml:space="preserve">• refreshPageMetaFromContent (строка 568) — синхронизирует уже существующее состояние.</w:t>
      </w:r>
    </w:p>
    <w:p>
      <w:r>
        <w:t xml:space="preserve">• normalizeDuplicatedTokenPage (строка 591) — инкапсулирует отдельное действие, названное в имени функции.</w:t>
      </w:r>
    </w:p>
    <w:p>
      <w:r>
        <w:t xml:space="preserve">• ensureWorkspaceWritePermission (строка 637)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2026-05-24T16:22:16Z</dcterms:created>
  <dcterms:modified xsi:type="dcterms:W3CDTF">2026-05-24T16:22:16Z</dcterms:modified>
</cp:coreProperties>
</file>