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40"/>
        <w:jc w:val="center"/>
      </w:pPr>
      <w:r>
        <w:rPr>
          <w:b/>
          <w:i w:val="0"/>
          <w:color w:val="1F3864"/>
          <w:sz w:val="30"/>
        </w:rPr>
        <w:t>VASAVI COLLEGE OF ENGINEERING (AUTONOMOUS)</w:t>
      </w:r>
    </w:p>
    <w:p>
      <w:pPr>
        <w:spacing w:before="0" w:after="40"/>
        <w:jc w:val="center"/>
      </w:pPr>
      <w:r>
        <w:rPr>
          <w:b w:val="0"/>
          <w:i w:val="0"/>
          <w:color w:val="595959"/>
          <w:sz w:val="21"/>
        </w:rPr>
        <w:t>(Affiliated to Osmania University) · Ibrahim Bagh, Hyderabad – 500 031</w:t>
      </w:r>
    </w:p>
    <w:p>
      <w:pPr>
        <w:spacing w:before="0" w:after="520"/>
        <w:jc w:val="center"/>
      </w:pPr>
      <w:r>
        <w:rPr>
          <w:b w:val="0"/>
          <w:i w:val="0"/>
          <w:color w:val="595959"/>
          <w:sz w:val="21"/>
        </w:rPr>
        <w:t>Department of Mechanical Engineering · B.E. V Semester, 2026</w:t>
      </w:r>
    </w:p>
    <w:p>
      <w:pPr>
        <w:spacing w:before="0" w:after="40"/>
        <w:jc w:val="center"/>
      </w:pPr>
      <w:r>
        <w:rPr>
          <w:b/>
          <w:i w:val="0"/>
          <w:color w:val="2E5395"/>
          <w:sz w:val="22"/>
        </w:rPr>
        <w:t>MINI PROJECT — INITIAL REPORT</w:t>
      </w:r>
    </w:p>
    <w:p>
      <w:pPr>
        <w:spacing w:before="0" w:after="440"/>
        <w:jc w:val="center"/>
      </w:pPr>
      <w:r>
        <w:rPr>
          <w:b w:val="0"/>
          <w:i/>
          <w:color w:val="595959"/>
          <w:sz w:val="19"/>
        </w:rPr>
        <w:t>(Progress stage: 40–50 % complete)</w:t>
      </w:r>
    </w:p>
    <w:p>
      <w:pPr>
        <w:spacing w:before="0" w:after="0"/>
        <w:jc w:val="center"/>
      </w:pPr>
      <w:r>
        <w:rPr>
          <w:b/>
          <w:i w:val="0"/>
          <w:color w:val="1F3864"/>
          <w:sz w:val="48"/>
        </w:rPr>
        <w:t>CNC TOOL WEAR PREDICTION</w:t>
      </w:r>
    </w:p>
    <w:p>
      <w:pPr>
        <w:spacing w:before="0" w:after="0"/>
        <w:jc w:val="center"/>
      </w:pPr>
      <w:r>
        <w:rPr>
          <w:b/>
          <w:i w:val="0"/>
          <w:color w:val="2E5395"/>
          <w:sz w:val="26"/>
        </w:rPr>
        <w:t>AND</w:t>
      </w:r>
    </w:p>
    <w:p>
      <w:pPr>
        <w:spacing w:before="0" w:after="120"/>
        <w:jc w:val="center"/>
        <w:pBdr>
          <w:bottom w:val="single" w:sz="12" w:space="2" w:color="1F3864"/>
        </w:pBdr>
      </w:pPr>
      <w:r>
        <w:rPr>
          <w:b/>
          <w:i w:val="0"/>
          <w:color w:val="1F3864"/>
          <w:sz w:val="48"/>
        </w:rPr>
        <w:t>SCRAP RISK SIGNAL</w:t>
      </w:r>
    </w:p>
    <w:p>
      <w:pPr>
        <w:spacing w:before="200" w:after="400"/>
        <w:jc w:val="center"/>
      </w:pPr>
      <w:r>
        <w:rPr>
          <w:b/>
          <w:i w:val="0"/>
          <w:sz w:val="22"/>
        </w:rPr>
        <w:t>Subject: Heat Transfer</w:t>
      </w:r>
    </w:p>
    <w:p>
      <w:pPr>
        <w:spacing w:before="0" w:after="80"/>
        <w:jc w:val="center"/>
      </w:pPr>
      <w:r>
        <w:rPr>
          <w:b/>
          <w:i w:val="0"/>
          <w:color w:val="595959"/>
          <w:sz w:val="21"/>
        </w:rPr>
        <w:t>Submitted by</w:t>
      </w:r>
    </w:p>
    <w:tbl>
      <w:tblPr>
        <w:tblStyle w:val="TableGrid"/>
        <w:tblW w:type="auto" w:w="0"/>
        <w:jc w:val="center"/>
        <w:tblLook w:firstColumn="1" w:firstRow="1" w:lastColumn="0" w:lastRow="0" w:noHBand="0" w:noVBand="1" w:val="04A0"/>
      </w:tblPr>
      <w:tblGrid>
        <w:gridCol w:w="4968"/>
        <w:gridCol w:w="4968"/>
      </w:tblGrid>
      <w:tr>
        <w:tc>
          <w:tcPr>
            <w:tcW w:type="dxa" w:w="4176"/>
          </w:tcPr>
          <w:p>
            <w:pPr>
              <w:spacing w:after="20"/>
              <w:jc w:val="center"/>
            </w:pPr>
            <w:r>
              <w:rPr>
                <w:b/>
                <w:sz w:val="21"/>
              </w:rPr>
              <w:t>Arvapalli Sai Adarsh</w:t>
            </w:r>
          </w:p>
        </w:tc>
        <w:tc>
          <w:tcPr>
            <w:tcW w:type="dxa" w:w="2736"/>
          </w:tcPr>
          <w:p>
            <w:pPr>
              <w:spacing w:after="20"/>
              <w:jc w:val="center"/>
            </w:pPr>
            <w:r>
              <w:rPr>
                <w:b w:val="0"/>
                <w:sz w:val="21"/>
              </w:rPr>
              <w:t>1602-24-736-039</w:t>
            </w:r>
          </w:p>
        </w:tc>
      </w:tr>
      <w:tr>
        <w:tc>
          <w:tcPr>
            <w:tcW w:type="dxa" w:w="4176"/>
            <w:shd w:val="clear" w:fill="F2F5FA"/>
          </w:tcPr>
          <w:p>
            <w:pPr>
              <w:spacing w:after="20"/>
              <w:jc w:val="center"/>
            </w:pPr>
            <w:r>
              <w:rPr>
                <w:b/>
                <w:sz w:val="21"/>
              </w:rPr>
              <w:t>A. Meghana</w:t>
            </w:r>
          </w:p>
        </w:tc>
        <w:tc>
          <w:tcPr>
            <w:tcW w:type="dxa" w:w="2736"/>
            <w:shd w:val="clear" w:fill="F2F5FA"/>
          </w:tcPr>
          <w:p>
            <w:pPr>
              <w:spacing w:after="20"/>
              <w:jc w:val="center"/>
            </w:pPr>
            <w:r>
              <w:rPr>
                <w:b w:val="0"/>
                <w:sz w:val="21"/>
              </w:rPr>
              <w:t>1602-24-736-022</w:t>
            </w:r>
          </w:p>
        </w:tc>
      </w:tr>
      <w:tr>
        <w:tc>
          <w:tcPr>
            <w:tcW w:type="dxa" w:w="4176"/>
          </w:tcPr>
          <w:p>
            <w:pPr>
              <w:spacing w:after="20"/>
              <w:jc w:val="center"/>
            </w:pPr>
            <w:r>
              <w:rPr>
                <w:b/>
                <w:sz w:val="21"/>
              </w:rPr>
              <w:t>M. Muzammil</w:t>
            </w:r>
          </w:p>
        </w:tc>
        <w:tc>
          <w:tcPr>
            <w:tcW w:type="dxa" w:w="2736"/>
          </w:tcPr>
          <w:p>
            <w:pPr>
              <w:spacing w:after="20"/>
              <w:jc w:val="center"/>
            </w:pPr>
            <w:r>
              <w:rPr>
                <w:b w:val="0"/>
                <w:sz w:val="21"/>
              </w:rPr>
              <w:t>1602-24-736-027</w:t>
            </w:r>
          </w:p>
        </w:tc>
      </w:tr>
    </w:tbl>
    <w:p>
      <w:pPr>
        <w:spacing w:before="0" w:after="200"/>
      </w:pPr>
    </w:p>
    <w:p>
      <w:pPr>
        <w:spacing w:before="0" w:after="40"/>
        <w:jc w:val="center"/>
      </w:pPr>
      <w:r>
        <w:rPr>
          <w:b/>
          <w:i w:val="0"/>
          <w:color w:val="595959"/>
          <w:sz w:val="21"/>
        </w:rPr>
        <w:t>Under the Guidance of</w:t>
      </w:r>
    </w:p>
    <w:p>
      <w:pPr>
        <w:spacing w:before="0" w:after="360"/>
        <w:jc w:val="center"/>
      </w:pPr>
      <w:r>
        <w:rPr>
          <w:b/>
          <w:i w:val="0"/>
          <w:color w:val="1F3864"/>
          <w:sz w:val="24"/>
        </w:rPr>
        <w:t>Dr. VBS Rajendra Prasad</w:t>
      </w:r>
    </w:p>
    <w:p>
      <w:pPr>
        <w:spacing w:before="0" w:after="0"/>
        <w:jc w:val="center"/>
      </w:pPr>
      <w:r>
        <w:rPr>
          <w:b w:val="0"/>
          <w:i w:val="0"/>
          <w:color w:val="595959"/>
          <w:sz w:val="19"/>
        </w:rPr>
        <w:t xml:space="preserve">Live demo: </w:t>
      </w:r>
      <w:hyperlink r:id="rId11">
        <w:r>
          <w:rPr>
            <w:color w:val="2E5395"/>
            <w:u w:val="single"/>
            <w:sz w:val="18"/>
          </w:rPr>
          <w:t>cnc-tool-wear-system.streamlit.app</w:t>
        </w:r>
      </w:hyperlink>
      <w:r>
        <w:rPr>
          <w:color w:val="595959"/>
          <w:sz w:val="19"/>
        </w:rPr>
        <w:t xml:space="preserve">   ·   Source code: </w:t>
      </w:r>
      <w:hyperlink r:id="rId12">
        <w:r>
          <w:rPr>
            <w:color w:val="2E5395"/>
            <w:u w:val="single"/>
            <w:sz w:val="18"/>
          </w:rPr>
          <w:t>github.com/ArvapalliSaiAdarsh39/cnc-tool-wear-system</w:t>
        </w:r>
      </w:hyperlink>
    </w:p>
    <w:p>
      <w:r>
        <w:br w:type="page"/>
      </w:r>
    </w:p>
    <w:p>
      <w:pPr>
        <w:spacing w:before="200" w:after="100"/>
        <w:keepNext/>
        <w:pBdr>
          <w:bottom w:val="single" w:sz="8" w:space="2" w:color="1F3864"/>
        </w:pBdr>
      </w:pPr>
      <w:r>
        <w:rPr>
          <w:b/>
          <w:i w:val="0"/>
          <w:color w:val="1F3864"/>
          <w:sz w:val="26"/>
        </w:rPr>
        <w:t>1.  INTRODUCTION AND PROJECT OBJECTIVES</w:t>
      </w:r>
    </w:p>
    <w:p>
      <w:pPr>
        <w:spacing w:before="0" w:after="120"/>
      </w:pPr>
      <w:r>
        <w:rPr>
          <w:b w:val="0"/>
          <w:i w:val="0"/>
          <w:sz w:val="21"/>
        </w:rPr>
        <w:t>Computer Numerical Control (CNC) machining is used to manufacture components that require repeatable dimensions and surface quality. During cutting, friction, heat and mechanical loading gradually change the condition of the tool. If wear is not noticed in time, it may contribute to surface-finish problems, dimensional variation, tool damage or rejected components. Monitoring tool condition is therefore useful for both product quality and maintenance planning.</w:t>
      </w:r>
    </w:p>
    <w:p>
      <w:pPr>
        <w:spacing w:before="0" w:after="120"/>
      </w:pPr>
      <w:r>
        <w:rPr>
          <w:b w:val="0"/>
          <w:i w:val="0"/>
          <w:sz w:val="21"/>
        </w:rPr>
        <w:t>The project, “CNC Tool Wear Prediction And Scrap Risk Signal,” is a software-based decision-support application that combines standard machining calculations with predictive modelling. Rather than giving the operator a single unexplained number, the system presents an estimated wear level, an uncertainty range around that estimate, a separate scrap-risk signal, and a short plain-language explanation of the factors that influenced the result.</w:t>
      </w:r>
    </w:p>
    <w:p>
      <w:pPr>
        <w:keepNext/>
        <w:spacing w:before="140" w:after="60"/>
      </w:pPr>
      <w:r>
        <w:rPr>
          <w:b/>
          <w:i w:val="0"/>
          <w:color w:val="2E5395"/>
          <w:sz w:val="22"/>
        </w:rPr>
        <w:t>1.1  Problem Statement</w:t>
      </w:r>
    </w:p>
    <w:p>
      <w:pPr>
        <w:spacing w:before="0" w:after="120"/>
      </w:pPr>
      <w:r>
        <w:rPr>
          <w:b w:val="0"/>
          <w:i w:val="0"/>
          <w:sz w:val="21"/>
        </w:rPr>
        <w:t>Tool replacement involves a practical trade-off. Replacing an insert too early wastes usable tool life and increases stoppages; replacing it too late increases the chance of poor-quality parts. A structured monitoring aid helps the operator review the available process settings consistently and decide when closer inspection may be appropriate.</w:t>
      </w:r>
    </w:p>
    <w:p>
      <w:pPr>
        <w:keepNext/>
        <w:spacing w:before="140" w:after="60"/>
      </w:pPr>
      <w:r>
        <w:rPr>
          <w:b/>
          <w:i w:val="0"/>
          <w:color w:val="2E5395"/>
          <w:sz w:val="22"/>
        </w:rPr>
        <w:t>1.2  Objectives</w:t>
      </w:r>
    </w:p>
    <w:p>
      <w:pPr>
        <w:pStyle w:val="ListBullet"/>
        <w:spacing w:after="40"/>
      </w:pPr>
      <w:r>
        <w:rPr>
          <w:sz w:val="21"/>
        </w:rPr>
        <w:t>Estimate cutting-tool flank wear from the selected machining conditions.</w:t>
      </w:r>
    </w:p>
    <w:p>
      <w:pPr>
        <w:pStyle w:val="ListBullet"/>
        <w:spacing w:after="40"/>
      </w:pPr>
      <w:r>
        <w:rPr>
          <w:sz w:val="21"/>
        </w:rPr>
        <w:t>Display a central wear estimate with lower and upper values, so uncertainty is communicated instead of hidden.</w:t>
      </w:r>
    </w:p>
    <w:p>
      <w:pPr>
        <w:pStyle w:val="ListBullet"/>
        <w:spacing w:after="40"/>
      </w:pPr>
      <w:r>
        <w:rPr>
          <w:sz w:val="21"/>
        </w:rPr>
        <w:t>Provide a separate scrap-risk estimate grouped into an understandable category (LOW / ELEVATED / HIGH).</w:t>
      </w:r>
    </w:p>
    <w:p>
      <w:pPr>
        <w:pStyle w:val="ListBullet"/>
        <w:spacing w:after="40"/>
      </w:pPr>
      <w:r>
        <w:rPr>
          <w:sz w:val="21"/>
        </w:rPr>
        <w:t>Show the main factors behind the current prediction and summarise the reading in plain language.</w:t>
      </w:r>
    </w:p>
    <w:p>
      <w:pPr>
        <w:pStyle w:val="ListBullet"/>
        <w:spacing w:after="40"/>
      </w:pPr>
      <w:r>
        <w:rPr>
          <w:sz w:val="21"/>
        </w:rPr>
        <w:t>Provide a way to save readings and prepare maintenance records, including a PDF work order, for later review.</w:t>
      </w:r>
    </w:p>
    <w:p>
      <w:pPr>
        <w:keepNext/>
        <w:spacing w:before="140" w:after="60"/>
      </w:pPr>
      <w:r>
        <w:rPr>
          <w:b/>
          <w:i w:val="0"/>
          <w:color w:val="2E5395"/>
          <w:sz w:val="22"/>
        </w:rPr>
        <w:t>1.3  Intended Use</w:t>
      </w:r>
    </w:p>
    <w:p>
      <w:pPr>
        <w:spacing w:before="0" w:after="120"/>
      </w:pPr>
      <w:r>
        <w:rPr>
          <w:b w:val="0"/>
          <w:i w:val="0"/>
          <w:sz w:val="21"/>
        </w:rPr>
        <w:t>The intended users are students, operators and maintenance personnel who need to understand how machining conditions relate to tool wear and process risk. The application supports decisions; it does not replace physical inspection, engineering judgement or the machine manufacturer’s operating instructions.</w:t>
      </w:r>
    </w:p>
    <w:p>
      <w:pPr>
        <w:spacing w:before="200" w:after="100"/>
        <w:keepNext/>
        <w:pBdr>
          <w:bottom w:val="single" w:sz="8" w:space="2" w:color="1F3864"/>
        </w:pBdr>
      </w:pPr>
      <w:r>
        <w:rPr>
          <w:b/>
          <w:i w:val="0"/>
          <w:color w:val="1F3864"/>
          <w:sz w:val="26"/>
        </w:rPr>
        <w:t>2.  WORK COMPLETED TO DATE</w:t>
      </w:r>
    </w:p>
    <w:p>
      <w:pPr>
        <w:spacing w:before="0" w:after="120"/>
      </w:pPr>
      <w:r>
        <w:rPr>
          <w:b w:val="0"/>
          <w:i w:val="0"/>
          <w:sz w:val="21"/>
        </w:rPr>
        <w:t>The system described in this report is not only planned — a working version is already implemented and publicly deployed. The live dashboard runs on Streamlit Community Cloud at cnc-tool-wear-system.streamlit.app, and the complete source code is maintained in a public GitHub repository. All four pages of the console (operations dashboard, calculation reference, knowledge base, and maintenance logs with PDF export) are functional, the prediction models are trained with a fixed seed (42) so every number below can be reproduced exactly, and the reading-log database, CSV export and PDF work-order generator are in place. The code is organised into eleven small modules; the principal ones are the dashboard (app.py), the machining calculator (physics_engine.py), the prediction and calibration models (ml_models.py), the reading log (log_database.py) and the PDF work-order generator (pdf_report.py).</w:t>
      </w:r>
    </w:p>
    <w:p>
      <w:pPr>
        <w:spacing w:before="0" w:after="60"/>
      </w:pPr>
      <w:r>
        <w:rPr>
          <w:b/>
          <w:i w:val="0"/>
          <w:color w:val="2E5395"/>
          <w:sz w:val="19"/>
        </w:rPr>
        <w:t>Table 1 — What already exists, measured on the current build (seed 42):</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2520"/>
            <w:shd w:val="clear" w:fill="1F3864"/>
          </w:tcPr>
          <w:p>
            <w:pPr>
              <w:spacing w:after="20"/>
            </w:pPr>
            <w:r>
              <w:rPr>
                <w:b/>
                <w:color w:val="FFFFFF"/>
                <w:sz w:val="18"/>
              </w:rPr>
              <w:t>What was measured</w:t>
            </w:r>
          </w:p>
        </w:tc>
        <w:tc>
          <w:tcPr>
            <w:tcW w:type="dxa" w:w="1800"/>
            <w:shd w:val="clear" w:fill="1F3864"/>
          </w:tcPr>
          <w:p>
            <w:pPr>
              <w:spacing w:after="20"/>
            </w:pPr>
            <w:r>
              <w:rPr>
                <w:b/>
                <w:color w:val="FFFFFF"/>
                <w:sz w:val="18"/>
              </w:rPr>
              <w:t>Value</w:t>
            </w:r>
          </w:p>
        </w:tc>
        <w:tc>
          <w:tcPr>
            <w:tcW w:type="dxa" w:w="5616"/>
            <w:shd w:val="clear" w:fill="1F3864"/>
          </w:tcPr>
          <w:p>
            <w:pPr>
              <w:spacing w:after="20"/>
            </w:pPr>
            <w:r>
              <w:rPr>
                <w:b/>
                <w:color w:val="FFFFFF"/>
                <w:sz w:val="18"/>
              </w:rPr>
              <w:t>What it means in plain language</w:t>
            </w:r>
          </w:p>
        </w:tc>
      </w:tr>
      <w:tr>
        <w:tc>
          <w:tcPr>
            <w:tcW w:type="dxa" w:w="2520"/>
          </w:tcPr>
          <w:p>
            <w:pPr>
              <w:spacing w:after="20"/>
            </w:pPr>
            <w:r>
              <w:rPr>
                <w:sz w:val="18"/>
              </w:rPr>
              <w:t>Average wear-estimate error</w:t>
            </w:r>
          </w:p>
        </w:tc>
        <w:tc>
          <w:tcPr>
            <w:tcW w:type="dxa" w:w="1800"/>
          </w:tcPr>
          <w:p>
            <w:pPr>
              <w:spacing w:after="20"/>
            </w:pPr>
            <w:r>
              <w:rPr>
                <w:sz w:val="18"/>
              </w:rPr>
              <w:t>0.0132 mm</w:t>
            </w:r>
          </w:p>
        </w:tc>
        <w:tc>
          <w:tcPr>
            <w:tcW w:type="dxa" w:w="5616"/>
          </w:tcPr>
          <w:p>
            <w:pPr>
              <w:spacing w:after="20"/>
            </w:pPr>
            <w:r>
              <w:rPr>
                <w:sz w:val="18"/>
              </w:rPr>
              <w:t>On average the estimate sits within about one hundredth of a millimetre of the true simulated wear — far thinner than a human hair.</w:t>
            </w:r>
          </w:p>
        </w:tc>
      </w:tr>
      <w:tr>
        <w:tc>
          <w:tcPr>
            <w:tcW w:type="dxa" w:w="2520"/>
            <w:shd w:val="clear" w:fill="F2F5FA"/>
          </w:tcPr>
          <w:p>
            <w:pPr>
              <w:spacing w:after="20"/>
            </w:pPr>
            <w:r>
              <w:rPr>
                <w:sz w:val="18"/>
              </w:rPr>
              <w:t>Wear-stage category accuracy</w:t>
            </w:r>
          </w:p>
        </w:tc>
        <w:tc>
          <w:tcPr>
            <w:tcW w:type="dxa" w:w="1800"/>
            <w:shd w:val="clear" w:fill="F2F5FA"/>
          </w:tcPr>
          <w:p>
            <w:pPr>
              <w:spacing w:after="20"/>
            </w:pPr>
            <w:r>
              <w:rPr>
                <w:sz w:val="18"/>
              </w:rPr>
              <w:t>93.1 %</w:t>
            </w:r>
          </w:p>
        </w:tc>
        <w:tc>
          <w:tcPr>
            <w:tcW w:type="dxa" w:w="5616"/>
            <w:shd w:val="clear" w:fill="F2F5FA"/>
          </w:tcPr>
          <w:p>
            <w:pPr>
              <w:spacing w:after="20"/>
            </w:pPr>
            <w:r>
              <w:rPr>
                <w:sz w:val="18"/>
              </w:rPr>
              <w:t>In roughly 93 of 100 held-out checks the tool is placed in the correct wear stage.</w:t>
            </w:r>
          </w:p>
        </w:tc>
      </w:tr>
      <w:tr>
        <w:tc>
          <w:tcPr>
            <w:tcW w:type="dxa" w:w="2520"/>
          </w:tcPr>
          <w:p>
            <w:pPr>
              <w:spacing w:after="20"/>
            </w:pPr>
            <w:r>
              <w:rPr>
                <w:sz w:val="18"/>
              </w:rPr>
              <w:t>Scrap-signal separation (AUC)</w:t>
            </w:r>
          </w:p>
        </w:tc>
        <w:tc>
          <w:tcPr>
            <w:tcW w:type="dxa" w:w="1800"/>
          </w:tcPr>
          <w:p>
            <w:pPr>
              <w:spacing w:after="20"/>
            </w:pPr>
            <w:r>
              <w:rPr>
                <w:sz w:val="18"/>
              </w:rPr>
              <w:t>0.873</w:t>
            </w:r>
          </w:p>
        </w:tc>
        <w:tc>
          <w:tcPr>
            <w:tcW w:type="dxa" w:w="5616"/>
          </w:tcPr>
          <w:p>
            <w:pPr>
              <w:spacing w:after="20"/>
            </w:pPr>
            <w:r>
              <w:rPr>
                <w:sz w:val="18"/>
              </w:rPr>
              <w:t>Readings that end in scrap consistently score higher risk than clean readings (1.0 would be perfect).</w:t>
            </w:r>
          </w:p>
        </w:tc>
      </w:tr>
      <w:tr>
        <w:tc>
          <w:tcPr>
            <w:tcW w:type="dxa" w:w="2520"/>
            <w:shd w:val="clear" w:fill="F2F5FA"/>
          </w:tcPr>
          <w:p>
            <w:pPr>
              <w:spacing w:after="20"/>
            </w:pPr>
            <w:r>
              <w:rPr>
                <w:sz w:val="18"/>
              </w:rPr>
              <w:t>Uncertainty-band honesty</w:t>
            </w:r>
          </w:p>
        </w:tc>
        <w:tc>
          <w:tcPr>
            <w:tcW w:type="dxa" w:w="1800"/>
            <w:shd w:val="clear" w:fill="F2F5FA"/>
          </w:tcPr>
          <w:p>
            <w:pPr>
              <w:spacing w:after="20"/>
            </w:pPr>
            <w:r>
              <w:rPr>
                <w:sz w:val="18"/>
              </w:rPr>
              <w:t>90.2 % (fast-boot)</w:t>
            </w:r>
          </w:p>
        </w:tc>
        <w:tc>
          <w:tcPr>
            <w:tcW w:type="dxa" w:w="5616"/>
            <w:shd w:val="clear" w:fill="F2F5FA"/>
          </w:tcPr>
          <w:p>
            <w:pPr>
              <w:spacing w:after="20"/>
            </w:pPr>
            <w:r>
              <w:rPr>
                <w:sz w:val="18"/>
              </w:rPr>
              <w:t>The true value falls inside the displayed Q10–Q90 band about nine times in ten, as promised.</w:t>
            </w:r>
          </w:p>
        </w:tc>
      </w:tr>
      <w:tr>
        <w:tc>
          <w:tcPr>
            <w:tcW w:type="dxa" w:w="2520"/>
          </w:tcPr>
          <w:p>
            <w:pPr>
              <w:spacing w:after="20"/>
            </w:pPr>
            <w:r>
              <w:rPr>
                <w:sz w:val="18"/>
              </w:rPr>
              <w:t>Time per prediction</w:t>
            </w:r>
          </w:p>
        </w:tc>
        <w:tc>
          <w:tcPr>
            <w:tcW w:type="dxa" w:w="1800"/>
          </w:tcPr>
          <w:p>
            <w:pPr>
              <w:spacing w:after="20"/>
            </w:pPr>
            <w:r>
              <w:rPr>
                <w:sz w:val="18"/>
              </w:rPr>
              <w:t>≈ 6–9 ms</w:t>
            </w:r>
          </w:p>
        </w:tc>
        <w:tc>
          <w:tcPr>
            <w:tcW w:type="dxa" w:w="5616"/>
          </w:tcPr>
          <w:p>
            <w:pPr>
              <w:spacing w:after="20"/>
            </w:pPr>
            <w:r>
              <w:rPr>
                <w:sz w:val="18"/>
              </w:rPr>
              <w:t>Results refresh the instant a control is moved; the dashboard feels immediate.</w:t>
            </w:r>
          </w:p>
        </w:tc>
      </w:tr>
      <w:tr>
        <w:tc>
          <w:tcPr>
            <w:tcW w:type="dxa" w:w="2520"/>
            <w:shd w:val="clear" w:fill="F2F5FA"/>
          </w:tcPr>
          <w:p>
            <w:pPr>
              <w:spacing w:after="20"/>
            </w:pPr>
            <w:r>
              <w:rPr>
                <w:sz w:val="18"/>
              </w:rPr>
              <w:t>Model file size</w:t>
            </w:r>
          </w:p>
        </w:tc>
        <w:tc>
          <w:tcPr>
            <w:tcW w:type="dxa" w:w="1800"/>
            <w:shd w:val="clear" w:fill="F2F5FA"/>
          </w:tcPr>
          <w:p>
            <w:pPr>
              <w:spacing w:after="20"/>
            </w:pPr>
            <w:r>
              <w:rPr>
                <w:sz w:val="18"/>
              </w:rPr>
              <w:t>0.23 MB / 2.92 MB</w:t>
            </w:r>
          </w:p>
        </w:tc>
        <w:tc>
          <w:tcPr>
            <w:tcW w:type="dxa" w:w="5616"/>
            <w:shd w:val="clear" w:fill="F2F5FA"/>
          </w:tcPr>
          <w:p>
            <w:pPr>
              <w:spacing w:after="20"/>
            </w:pPr>
            <w:r>
              <w:rPr>
                <w:sz w:val="18"/>
              </w:rPr>
              <w:t>Small enough to host on the free cloud tier — the fast-boot model loads in under half a second.</w:t>
            </w:r>
          </w:p>
        </w:tc>
      </w:tr>
    </w:tbl>
    <w:p>
      <w:pPr>
        <w:spacing w:after="40"/>
      </w:pPr>
    </w:p>
    <w:p>
      <w:pPr>
        <w:spacing w:before="0" w:after="120"/>
      </w:pPr>
      <w:r>
        <w:rPr>
          <w:b w:val="0"/>
          <w:i w:val="0"/>
          <w:sz w:val="20"/>
        </w:rPr>
        <w:t>These figures come from the project’s own simulated telemetry (Section 7 states this limitation openly). They demonstrate that the calculation, prediction, calibration and reporting chain works end to end; validation against real machining measurements remains planned work.</w:t>
      </w:r>
    </w:p>
    <w:p>
      <w:pPr>
        <w:spacing w:before="200" w:after="100"/>
        <w:keepNext/>
        <w:pBdr>
          <w:bottom w:val="single" w:sz="8" w:space="2" w:color="1F3864"/>
        </w:pBdr>
      </w:pPr>
      <w:r>
        <w:rPr>
          <w:b/>
          <w:i w:val="0"/>
          <w:color w:val="1F3864"/>
          <w:sz w:val="26"/>
        </w:rPr>
        <w:t>3.  SYSTEM WORKFLOW AND USER INPUTS</w:t>
      </w:r>
    </w:p>
    <w:p>
      <w:pPr>
        <w:spacing w:before="0" w:after="120"/>
      </w:pPr>
      <w:r>
        <w:rPr>
          <w:b w:val="0"/>
          <w:i w:val="0"/>
          <w:sz w:val="21"/>
        </w:rPr>
        <w:t>The user journey is kept direct: enter the operating conditions, review the calculated machining quantities, inspect the predicted outputs, then decide whether the reading should be recorded for follow-up. Changing any input updates every calculation and prediction immediately.</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c>
          <w:tcPr>
            <w:tcW w:type="dxa" w:w="2484"/>
            <w:shd w:val="clear" w:fill="1F3864"/>
          </w:tcPr>
          <w:p>
            <w:pPr>
              <w:spacing w:after="20"/>
            </w:pPr>
            <w:r>
              <w:rPr>
                <w:b/>
                <w:color w:val="FFFFFF"/>
                <w:sz w:val="18"/>
              </w:rPr>
              <w:t>Step 1</w:t>
            </w:r>
          </w:p>
        </w:tc>
        <w:tc>
          <w:tcPr>
            <w:tcW w:type="dxa" w:w="2484"/>
            <w:shd w:val="clear" w:fill="1F3864"/>
          </w:tcPr>
          <w:p>
            <w:pPr>
              <w:spacing w:after="20"/>
            </w:pPr>
            <w:r>
              <w:rPr>
                <w:b/>
                <w:color w:val="FFFFFF"/>
                <w:sz w:val="18"/>
              </w:rPr>
              <w:t>Step 2</w:t>
            </w:r>
          </w:p>
        </w:tc>
        <w:tc>
          <w:tcPr>
            <w:tcW w:type="dxa" w:w="2484"/>
            <w:shd w:val="clear" w:fill="1F3864"/>
          </w:tcPr>
          <w:p>
            <w:pPr>
              <w:spacing w:after="20"/>
            </w:pPr>
            <w:r>
              <w:rPr>
                <w:b/>
                <w:color w:val="FFFFFF"/>
                <w:sz w:val="18"/>
              </w:rPr>
              <w:t>Step 3</w:t>
            </w:r>
          </w:p>
        </w:tc>
        <w:tc>
          <w:tcPr>
            <w:tcW w:type="dxa" w:w="2484"/>
            <w:shd w:val="clear" w:fill="1F3864"/>
          </w:tcPr>
          <w:p>
            <w:pPr>
              <w:spacing w:after="20"/>
            </w:pPr>
            <w:r>
              <w:rPr>
                <w:b/>
                <w:color w:val="FFFFFF"/>
                <w:sz w:val="18"/>
              </w:rPr>
              <w:t>Step 4</w:t>
            </w:r>
          </w:p>
        </w:tc>
      </w:tr>
      <w:tr>
        <w:tc>
          <w:tcPr>
            <w:tcW w:type="dxa" w:w="2484"/>
          </w:tcPr>
          <w:p>
            <w:pPr>
              <w:spacing w:after="20"/>
            </w:pPr>
            <w:r>
              <w:rPr>
                <w:sz w:val="18"/>
              </w:rPr>
              <w:t>User selects material, tool, coolant and cutting settings.</w:t>
            </w:r>
          </w:p>
        </w:tc>
        <w:tc>
          <w:tcPr>
            <w:tcW w:type="dxa" w:w="2484"/>
          </w:tcPr>
          <w:p>
            <w:pPr>
              <w:spacing w:after="20"/>
            </w:pPr>
            <w:r>
              <w:rPr>
                <w:sz w:val="18"/>
              </w:rPr>
              <w:t>Process quantities and model features are prepared.</w:t>
            </w:r>
          </w:p>
        </w:tc>
        <w:tc>
          <w:tcPr>
            <w:tcW w:type="dxa" w:w="2484"/>
          </w:tcPr>
          <w:p>
            <w:pPr>
              <w:spacing w:after="20"/>
            </w:pPr>
            <w:r>
              <w:rPr>
                <w:sz w:val="18"/>
              </w:rPr>
              <w:t>Wear range and scrap-risk estimate are produced.</w:t>
            </w:r>
          </w:p>
        </w:tc>
        <w:tc>
          <w:tcPr>
            <w:tcW w:type="dxa" w:w="2484"/>
          </w:tcPr>
          <w:p>
            <w:pPr>
              <w:spacing w:after="20"/>
            </w:pPr>
            <w:r>
              <w:rPr>
                <w:sz w:val="18"/>
              </w:rPr>
              <w:t>User reviews explanations and decides whether to log the reading.</w:t>
            </w:r>
          </w:p>
        </w:tc>
      </w:tr>
    </w:tbl>
    <w:p>
      <w:pPr>
        <w:spacing w:after="40"/>
      </w:pPr>
    </w:p>
    <w:p>
      <w:pPr>
        <w:keepNext/>
        <w:spacing w:before="140" w:after="60"/>
      </w:pPr>
      <w:r>
        <w:rPr>
          <w:b/>
          <w:i w:val="0"/>
          <w:color w:val="2E5395"/>
          <w:sz w:val="22"/>
        </w:rPr>
        <w:t>3.1  Inputs Provided by the User</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2160"/>
            <w:shd w:val="clear" w:fill="1F3864"/>
          </w:tcPr>
          <w:p>
            <w:pPr>
              <w:spacing w:after="20"/>
            </w:pPr>
            <w:r>
              <w:rPr>
                <w:b/>
                <w:color w:val="FFFFFF"/>
                <w:sz w:val="18"/>
              </w:rPr>
              <w:t>Input group</w:t>
            </w:r>
          </w:p>
        </w:tc>
        <w:tc>
          <w:tcPr>
            <w:tcW w:type="dxa" w:w="3312"/>
            <w:shd w:val="clear" w:fill="1F3864"/>
          </w:tcPr>
          <w:p>
            <w:pPr>
              <w:spacing w:after="20"/>
            </w:pPr>
            <w:r>
              <w:rPr>
                <w:b/>
                <w:color w:val="FFFFFF"/>
                <w:sz w:val="18"/>
              </w:rPr>
              <w:t>Examples</w:t>
            </w:r>
          </w:p>
        </w:tc>
        <w:tc>
          <w:tcPr>
            <w:tcW w:type="dxa" w:w="4464"/>
            <w:shd w:val="clear" w:fill="1F3864"/>
          </w:tcPr>
          <w:p>
            <w:pPr>
              <w:spacing w:after="20"/>
            </w:pPr>
            <w:r>
              <w:rPr>
                <w:b/>
                <w:color w:val="FFFFFF"/>
                <w:sz w:val="18"/>
              </w:rPr>
              <w:t>What changes when the user changes it</w:t>
            </w:r>
          </w:p>
        </w:tc>
      </w:tr>
      <w:tr>
        <w:tc>
          <w:tcPr>
            <w:tcW w:type="dxa" w:w="2160"/>
          </w:tcPr>
          <w:p>
            <w:pPr>
              <w:spacing w:after="20"/>
            </w:pPr>
            <w:r>
              <w:rPr>
                <w:sz w:val="18"/>
              </w:rPr>
              <w:t>Workpiece material</w:t>
            </w:r>
          </w:p>
        </w:tc>
        <w:tc>
          <w:tcPr>
            <w:tcW w:type="dxa" w:w="3312"/>
          </w:tcPr>
          <w:p>
            <w:pPr>
              <w:spacing w:after="20"/>
            </w:pPr>
            <w:r>
              <w:rPr>
                <w:sz w:val="18"/>
              </w:rPr>
              <w:t>Aluminium alloy, steel grades, titanium alloy, Inconel</w:t>
            </w:r>
          </w:p>
        </w:tc>
        <w:tc>
          <w:tcPr>
            <w:tcW w:type="dxa" w:w="4464"/>
          </w:tcPr>
          <w:p>
            <w:pPr>
              <w:spacing w:after="20"/>
            </w:pPr>
            <w:r>
              <w:rPr>
                <w:sz w:val="18"/>
              </w:rPr>
              <w:t>Harder alloys wear the tool faster and raise scrap risk at identical settings.</w:t>
            </w:r>
          </w:p>
        </w:tc>
      </w:tr>
      <w:tr>
        <w:tc>
          <w:tcPr>
            <w:tcW w:type="dxa" w:w="2160"/>
            <w:shd w:val="clear" w:fill="F2F5FA"/>
          </w:tcPr>
          <w:p>
            <w:pPr>
              <w:spacing w:after="20"/>
            </w:pPr>
            <w:r>
              <w:rPr>
                <w:sz w:val="18"/>
              </w:rPr>
              <w:t>Coolant condition</w:t>
            </w:r>
          </w:p>
        </w:tc>
        <w:tc>
          <w:tcPr>
            <w:tcW w:type="dxa" w:w="3312"/>
            <w:shd w:val="clear" w:fill="F2F5FA"/>
          </w:tcPr>
          <w:p>
            <w:pPr>
              <w:spacing w:after="20"/>
            </w:pPr>
            <w:r>
              <w:rPr>
                <w:sz w:val="18"/>
              </w:rPr>
              <w:t>Dry, MQL, flood, high-pressure</w:t>
            </w:r>
          </w:p>
        </w:tc>
        <w:tc>
          <w:tcPr>
            <w:tcW w:type="dxa" w:w="4464"/>
            <w:shd w:val="clear" w:fill="F2F5FA"/>
          </w:tcPr>
          <w:p>
            <w:pPr>
              <w:spacing w:after="20"/>
            </w:pPr>
            <w:r>
              <w:rPr>
                <w:sz w:val="18"/>
              </w:rPr>
              <w:t>Better cooling and lubrication slow the predicted wear rate.</w:t>
            </w:r>
          </w:p>
        </w:tc>
      </w:tr>
      <w:tr>
        <w:tc>
          <w:tcPr>
            <w:tcW w:type="dxa" w:w="2160"/>
          </w:tcPr>
          <w:p>
            <w:pPr>
              <w:spacing w:after="20"/>
            </w:pPr>
            <w:r>
              <w:rPr>
                <w:sz w:val="18"/>
              </w:rPr>
              <w:t>Tool type / coating</w:t>
            </w:r>
          </w:p>
        </w:tc>
        <w:tc>
          <w:tcPr>
            <w:tcW w:type="dxa" w:w="3312"/>
          </w:tcPr>
          <w:p>
            <w:pPr>
              <w:spacing w:after="20"/>
            </w:pPr>
            <w:r>
              <w:rPr>
                <w:sz w:val="18"/>
              </w:rPr>
              <w:t>Uncoated or coated carbide, ceramic, PCD, CBN</w:t>
            </w:r>
          </w:p>
        </w:tc>
        <w:tc>
          <w:tcPr>
            <w:tcW w:type="dxa" w:w="4464"/>
          </w:tcPr>
          <w:p>
            <w:pPr>
              <w:spacing w:after="20"/>
            </w:pPr>
            <w:r>
              <w:rPr>
                <w:sz w:val="18"/>
              </w:rPr>
              <w:t>Coating choice adjusts tool life; incompatible pairs (e.g. PCD on ferrous) are flagged.</w:t>
            </w:r>
          </w:p>
        </w:tc>
      </w:tr>
      <w:tr>
        <w:tc>
          <w:tcPr>
            <w:tcW w:type="dxa" w:w="2160"/>
            <w:shd w:val="clear" w:fill="F2F5FA"/>
          </w:tcPr>
          <w:p>
            <w:pPr>
              <w:spacing w:after="20"/>
            </w:pPr>
            <w:r>
              <w:rPr>
                <w:sz w:val="18"/>
              </w:rPr>
              <w:t>Cutting settings</w:t>
            </w:r>
          </w:p>
        </w:tc>
        <w:tc>
          <w:tcPr>
            <w:tcW w:type="dxa" w:w="3312"/>
            <w:shd w:val="clear" w:fill="F2F5FA"/>
          </w:tcPr>
          <w:p>
            <w:pPr>
              <w:spacing w:after="20"/>
            </w:pPr>
            <w:r>
              <w:rPr>
                <w:sz w:val="18"/>
              </w:rPr>
              <w:t>Spindle speed, feed rate, diameter, axial and radial depth</w:t>
            </w:r>
          </w:p>
        </w:tc>
        <w:tc>
          <w:tcPr>
            <w:tcW w:type="dxa" w:w="4464"/>
            <w:shd w:val="clear" w:fill="F2F5FA"/>
          </w:tcPr>
          <w:p>
            <w:pPr>
              <w:spacing w:after="20"/>
            </w:pPr>
            <w:r>
              <w:rPr>
                <w:sz w:val="18"/>
              </w:rPr>
              <w:t>Higher speed, feed or depth raises removal rate, load and wear progression.</w:t>
            </w:r>
          </w:p>
        </w:tc>
      </w:tr>
      <w:tr>
        <w:tc>
          <w:tcPr>
            <w:tcW w:type="dxa" w:w="2160"/>
          </w:tcPr>
          <w:p>
            <w:pPr>
              <w:spacing w:after="20"/>
            </w:pPr>
            <w:r>
              <w:rPr>
                <w:sz w:val="18"/>
              </w:rPr>
              <w:t>Tool geometry</w:t>
            </w:r>
          </w:p>
        </w:tc>
        <w:tc>
          <w:tcPr>
            <w:tcW w:type="dxa" w:w="3312"/>
          </w:tcPr>
          <w:p>
            <w:pPr>
              <w:spacing w:after="20"/>
            </w:pPr>
            <w:r>
              <w:rPr>
                <w:sz w:val="18"/>
              </w:rPr>
              <w:t>Flutes, spindle count, nose radius</w:t>
            </w:r>
          </w:p>
        </w:tc>
        <w:tc>
          <w:tcPr>
            <w:tcW w:type="dxa" w:w="4464"/>
          </w:tcPr>
          <w:p>
            <w:pPr>
              <w:spacing w:after="20"/>
            </w:pPr>
            <w:r>
              <w:rPr>
                <w:sz w:val="18"/>
              </w:rPr>
              <w:t>Changes feed per tooth and the theoretical surface finish.</w:t>
            </w:r>
          </w:p>
        </w:tc>
      </w:tr>
      <w:tr>
        <w:tc>
          <w:tcPr>
            <w:tcW w:type="dxa" w:w="2160"/>
            <w:shd w:val="clear" w:fill="F2F5FA"/>
          </w:tcPr>
          <w:p>
            <w:pPr>
              <w:spacing w:after="20"/>
            </w:pPr>
            <w:r>
              <w:rPr>
                <w:sz w:val="18"/>
              </w:rPr>
              <w:t>Runtime &amp; steadiness</w:t>
            </w:r>
          </w:p>
        </w:tc>
        <w:tc>
          <w:tcPr>
            <w:tcW w:type="dxa" w:w="3312"/>
            <w:shd w:val="clear" w:fill="F2F5FA"/>
          </w:tcPr>
          <w:p>
            <w:pPr>
              <w:spacing w:after="20"/>
            </w:pPr>
            <w:r>
              <w:rPr>
                <w:sz w:val="18"/>
              </w:rPr>
              <w:t>Elapsed minutes; process steadiness 0–100 %</w:t>
            </w:r>
          </w:p>
        </w:tc>
        <w:tc>
          <w:tcPr>
            <w:tcW w:type="dxa" w:w="4464"/>
            <w:shd w:val="clear" w:fill="F2F5FA"/>
          </w:tcPr>
          <w:p>
            <w:pPr>
              <w:spacing w:after="20"/>
            </w:pPr>
            <w:r>
              <w:rPr>
                <w:sz w:val="18"/>
              </w:rPr>
              <w:t>Longer runtime moves the tool along its wear curve; lower steadiness simulates chatter and raises scrap risk at the same wear.</w:t>
            </w:r>
          </w:p>
        </w:tc>
      </w:tr>
    </w:tbl>
    <w:p>
      <w:pPr>
        <w:spacing w:after="40"/>
      </w:pPr>
    </w:p>
    <w:p>
      <w:pPr>
        <w:keepNext/>
        <w:spacing w:before="140" w:after="60"/>
      </w:pPr>
      <w:r>
        <w:rPr>
          <w:b/>
          <w:i w:val="0"/>
          <w:color w:val="2E5395"/>
          <w:sz w:val="22"/>
        </w:rPr>
        <w:t>3.2  What the System Does with the Inputs</w:t>
      </w:r>
    </w:p>
    <w:p>
      <w:pPr>
        <w:pStyle w:val="ListNumber"/>
        <w:spacing w:after="40"/>
      </w:pPr>
      <w:r>
        <w:rPr>
          <w:sz w:val="21"/>
        </w:rPr>
        <w:t>Calculates process quantities — cutting speed, table feed, material removal rate, estimated tool life, surface roughness and cutting energy — using standard machining formulas.</w:t>
      </w:r>
    </w:p>
    <w:p>
      <w:pPr>
        <w:pStyle w:val="ListNumber"/>
        <w:spacing w:after="40"/>
      </w:pPr>
      <w:r>
        <w:rPr>
          <w:sz w:val="21"/>
        </w:rPr>
        <w:t>Arranges the selected conditions into a consistent feature set, prepared exactly as during training so the model receives compatible information.</w:t>
      </w:r>
    </w:p>
    <w:p>
      <w:pPr>
        <w:pStyle w:val="ListNumber"/>
        <w:spacing w:after="40"/>
      </w:pPr>
      <w:r>
        <w:rPr>
          <w:sz w:val="21"/>
        </w:rPr>
        <w:t>Returns a lower, central and upper wear estimate (Q10, Q50, Q90): the central value is the main estimate, the outer values show the calibrated uncertainty.</w:t>
      </w:r>
    </w:p>
    <w:p>
      <w:pPr>
        <w:pStyle w:val="ListNumber"/>
        <w:spacing w:after="40"/>
      </w:pPr>
      <w:r>
        <w:rPr>
          <w:sz w:val="21"/>
        </w:rPr>
        <w:t>Runs a separate classification stage for scrap-related risk and presents it as a probability with a readable category; wear and scrap risk are related but distinct outputs.</w:t>
      </w:r>
    </w:p>
    <w:p>
      <w:pPr>
        <w:spacing w:before="200" w:after="100"/>
        <w:keepNext/>
        <w:pBdr>
          <w:bottom w:val="single" w:sz="8" w:space="2" w:color="1F3864"/>
        </w:pBdr>
      </w:pPr>
      <w:r>
        <w:rPr>
          <w:b/>
          <w:i w:val="0"/>
          <w:color w:val="1F3864"/>
          <w:sz w:val="26"/>
        </w:rPr>
        <w:t>4.  PREDICTED OUTPUTS AND HOW TO READ THEM</w:t>
      </w:r>
    </w:p>
    <w:p>
      <w:pPr>
        <w:keepNext/>
        <w:spacing w:before="140" w:after="60"/>
      </w:pPr>
      <w:r>
        <w:rPr>
          <w:b/>
          <w:i w:val="0"/>
          <w:color w:val="2E5395"/>
          <w:sz w:val="22"/>
        </w:rPr>
        <w:t>4.1  Flank-Wear Estimate with an Honest Range</w:t>
      </w:r>
    </w:p>
    <w:p>
      <w:pPr>
        <w:spacing w:before="0" w:after="120"/>
      </w:pPr>
      <w:r>
        <w:rPr>
          <w:b w:val="0"/>
          <w:i w:val="0"/>
          <w:sz w:val="21"/>
        </w:rPr>
        <w:t>Flank wear develops on the clearance face of the cutting tool. The system reports wear (VB) in millimetres as three values: Q10, Q50 and Q90. Q50 is the central estimate; Q10 and Q90 bound the displayed uncertainty band. A wider band means greater uncertainty and calls for more cautious interpretation. The estimate guides attention — it does not measure the cutting edge, so a physical check remains necessary when a decision is important.</w:t>
      </w:r>
    </w:p>
    <w:p>
      <w:pPr>
        <w:keepNext/>
        <w:spacing w:before="140" w:after="60"/>
      </w:pPr>
      <w:r>
        <w:rPr>
          <w:b/>
          <w:i w:val="0"/>
          <w:color w:val="2E5395"/>
          <w:sz w:val="22"/>
        </w:rPr>
        <w:t>4.2  Scrap-Risk Signal</w:t>
      </w:r>
    </w:p>
    <w:p>
      <w:pPr>
        <w:spacing w:before="0" w:after="120"/>
      </w:pPr>
      <w:r>
        <w:rPr>
          <w:b w:val="0"/>
          <w:i w:val="0"/>
          <w:sz w:val="21"/>
        </w:rPr>
        <w:t>A separate model estimates the probability of a scrap-related outcome from the available process features and presents it with a simple LOW, ELEVATED or HIGH category, making the result easy to scan while preserving the distinction between a model estimate and a confirmed defect.</w:t>
      </w:r>
    </w:p>
    <w:p>
      <w:pPr>
        <w:keepNext/>
        <w:spacing w:before="140" w:after="60"/>
      </w:pPr>
      <w:r>
        <w:rPr>
          <w:b/>
          <w:i w:val="0"/>
          <w:color w:val="2E5395"/>
          <w:sz w:val="22"/>
        </w:rPr>
        <w:t>4.3  Explanation Charts and Operator Bulletin</w:t>
      </w:r>
    </w:p>
    <w:p>
      <w:pPr>
        <w:spacing w:before="0" w:after="120"/>
      </w:pPr>
      <w:r>
        <w:rPr>
          <w:b w:val="0"/>
          <w:i w:val="0"/>
          <w:sz w:val="21"/>
        </w:rPr>
        <w:t>SHAP-based attribution charts show which available inputs contributed most to the current wear and risk predictions — for example cutting speed, feed, depth of cut, material, coolant, coating, runtime or steadiness. These charts explain the model’s response; they are not proof that any single factor caused wear or scrap. A short operator bulletin then translates the reading into plain language; if the optional language-model service is configured it drafts the bulletin, and a deterministic offline fallback keeps the reporting path usable without credentials.</w:t>
      </w:r>
    </w:p>
    <w:p>
      <w:pPr>
        <w:keepNext/>
        <w:spacing w:before="140" w:after="60"/>
      </w:pPr>
      <w:r>
        <w:rPr>
          <w:b/>
          <w:i w:val="0"/>
          <w:color w:val="2E5395"/>
          <w:sz w:val="22"/>
        </w:rPr>
        <w:t>4.4  Reading the Results</w:t>
      </w:r>
    </w:p>
    <w:p>
      <w:pPr>
        <w:pStyle w:val="ListBullet"/>
        <w:spacing w:after="40"/>
      </w:pPr>
      <w:r>
        <w:rPr>
          <w:sz w:val="21"/>
        </w:rPr>
        <w:t>A higher estimated wear value can indicate that the tool needs closer inspection.</w:t>
      </w:r>
    </w:p>
    <w:p>
      <w:pPr>
        <w:pStyle w:val="ListBullet"/>
        <w:spacing w:after="40"/>
      </w:pPr>
      <w:r>
        <w:rPr>
          <w:sz w:val="21"/>
        </w:rPr>
        <w:t>A wider Q10–Q90 band indicates greater uncertainty and calls for caution.</w:t>
      </w:r>
    </w:p>
    <w:p>
      <w:pPr>
        <w:pStyle w:val="ListBullet"/>
        <w:spacing w:after="40"/>
      </w:pPr>
      <w:r>
        <w:rPr>
          <w:sz w:val="21"/>
        </w:rPr>
        <w:t>An elevated or high scrap-risk signal should prompt review of the process and the part’s quality requirements.</w:t>
      </w:r>
    </w:p>
    <w:p>
      <w:pPr>
        <w:pStyle w:val="ListBullet"/>
        <w:spacing w:after="40"/>
      </w:pPr>
      <w:r>
        <w:rPr>
          <w:sz w:val="21"/>
        </w:rPr>
        <w:t>Explanation charts support understanding; they are not a substitute for measurement.</w:t>
      </w:r>
    </w:p>
    <w:tbl>
      <w:tblPr>
        <w:tblStyle w:val="TableGrid"/>
        <w:tblW w:type="auto" w:w="0"/>
        <w:tblLook w:firstColumn="1" w:firstRow="1" w:lastColumn="0" w:lastRow="0" w:noHBand="0" w:noVBand="1" w:val="04A0"/>
      </w:tblPr>
      <w:tblGrid>
        <w:gridCol w:w="9936"/>
      </w:tblGrid>
      <w:tr>
        <w:tc>
          <w:tcPr>
            <w:tcW w:type="dxa" w:w="9936"/>
            <w:shd w:val="clear" w:fill="EAF0FA"/>
          </w:tcPr>
          <w:p>
            <w:pPr>
              <w:spacing w:after="20"/>
            </w:pPr>
            <w:r>
              <w:rPr>
                <w:i/>
                <w:sz w:val="19"/>
              </w:rPr>
              <w:t>Safety and decision boundary — the application is decision support only. It does not control, stop or override a CNC machine. Inspection, tool replacement, component acceptance and any production action remain the responsibility of qualified personnel.</w:t>
            </w:r>
          </w:p>
        </w:tc>
      </w:tr>
    </w:tbl>
    <w:p>
      <w:pPr>
        <w:spacing w:after="40"/>
      </w:pPr>
    </w:p>
    <w:p>
      <w:pPr>
        <w:spacing w:before="200" w:after="100"/>
        <w:keepNext/>
        <w:pBdr>
          <w:bottom w:val="single" w:sz="8" w:space="2" w:color="1F3864"/>
        </w:pBdr>
      </w:pPr>
      <w:r>
        <w:rPr>
          <w:b/>
          <w:i w:val="0"/>
          <w:color w:val="1F3864"/>
          <w:sz w:val="26"/>
        </w:rPr>
        <w:t>5.  APPLICATION TOUR: THE FOUR PAGES</w:t>
      </w:r>
    </w:p>
    <w:tbl>
      <w:tblPr>
        <w:tblStyle w:val="TableGrid"/>
        <w:tblW w:type="auto" w:w="0"/>
        <w:jc w:val="center"/>
        <w:tblLayout w:type="fixed"/>
        <w:tblLook w:firstColumn="1" w:firstRow="1" w:lastColumn="0" w:lastRow="0" w:noHBand="0" w:noVBand="1" w:val="04A0"/>
      </w:tblPr>
      <w:tblGrid>
        <w:gridCol w:w="4968"/>
        <w:gridCol w:w="4968"/>
      </w:tblGrid>
      <w:tr>
        <w:tc>
          <w:tcPr>
            <w:tcW w:type="dxa" w:w="2736"/>
            <w:shd w:val="clear" w:fill="1F3864"/>
          </w:tcPr>
          <w:p>
            <w:pPr>
              <w:spacing w:after="20"/>
            </w:pPr>
            <w:r>
              <w:rPr>
                <w:b/>
                <w:color w:val="FFFFFF"/>
                <w:sz w:val="18"/>
              </w:rPr>
              <w:t>Page</w:t>
            </w:r>
          </w:p>
        </w:tc>
        <w:tc>
          <w:tcPr>
            <w:tcW w:type="dxa" w:w="7200"/>
            <w:shd w:val="clear" w:fill="1F3864"/>
          </w:tcPr>
          <w:p>
            <w:pPr>
              <w:spacing w:after="20"/>
            </w:pPr>
            <w:r>
              <w:rPr>
                <w:b/>
                <w:color w:val="FFFFFF"/>
                <w:sz w:val="18"/>
              </w:rPr>
              <w:t>What the user does there</w:t>
            </w:r>
          </w:p>
        </w:tc>
      </w:tr>
      <w:tr>
        <w:tc>
          <w:tcPr>
            <w:tcW w:type="dxa" w:w="2736"/>
          </w:tcPr>
          <w:p>
            <w:pPr>
              <w:spacing w:after="20"/>
            </w:pPr>
            <w:r>
              <w:rPr>
                <w:sz w:val="18"/>
              </w:rPr>
              <w:t>Live Operations &amp; Diagnostics</w:t>
            </w:r>
          </w:p>
        </w:tc>
        <w:tc>
          <w:tcPr>
            <w:tcW w:type="dxa" w:w="7200"/>
          </w:tcPr>
          <w:p>
            <w:pPr>
              <w:spacing w:after="20"/>
            </w:pPr>
            <w:r>
              <w:rPr>
                <w:sz w:val="18"/>
              </w:rPr>
              <w:t>Sets all inputs, watches the metric cards (cutting speed, tool-life ratio, removal rate, roughness, spindle load), the wear band chart, the scrap-risk gauge with its colour badge, the explanation charts and the operator bulletin — one reading, one screen.</w:t>
            </w:r>
          </w:p>
        </w:tc>
      </w:tr>
      <w:tr>
        <w:tc>
          <w:tcPr>
            <w:tcW w:type="dxa" w:w="2736"/>
            <w:shd w:val="clear" w:fill="F2F5FA"/>
          </w:tcPr>
          <w:p>
            <w:pPr>
              <w:spacing w:after="20"/>
            </w:pPr>
            <w:r>
              <w:rPr>
                <w:sz w:val="18"/>
              </w:rPr>
              <w:t>Mathematical Derivations</w:t>
            </w:r>
          </w:p>
        </w:tc>
        <w:tc>
          <w:tcPr>
            <w:tcW w:type="dxa" w:w="7200"/>
            <w:shd w:val="clear" w:fill="F2F5FA"/>
          </w:tcPr>
          <w:p>
            <w:pPr>
              <w:spacing w:after="20"/>
            </w:pPr>
            <w:r>
              <w:rPr>
                <w:sz w:val="18"/>
              </w:rPr>
              <w:t>Sees every formula behind the numbers re-evaluated live with the current inputs, each with a short explanatory caption.</w:t>
            </w:r>
          </w:p>
        </w:tc>
      </w:tr>
      <w:tr>
        <w:tc>
          <w:tcPr>
            <w:tcW w:type="dxa" w:w="2736"/>
          </w:tcPr>
          <w:p>
            <w:pPr>
              <w:spacing w:after="20"/>
            </w:pPr>
            <w:r>
              <w:rPr>
                <w:sz w:val="18"/>
              </w:rPr>
              <w:t>CNC Knowledge Base (A-to-Z)</w:t>
            </w:r>
          </w:p>
        </w:tc>
        <w:tc>
          <w:tcPr>
            <w:tcW w:type="dxa" w:w="7200"/>
          </w:tcPr>
          <w:p>
            <w:pPr>
              <w:spacing w:after="20"/>
            </w:pPr>
            <w:r>
              <w:rPr>
                <w:sz w:val="18"/>
              </w:rPr>
              <w:t>Reads plain-language reference material on tool-wear terminology, insert and material concepts, and common troubleshooting considerations.</w:t>
            </w:r>
          </w:p>
        </w:tc>
      </w:tr>
      <w:tr>
        <w:tc>
          <w:tcPr>
            <w:tcW w:type="dxa" w:w="2736"/>
            <w:shd w:val="clear" w:fill="F2F5FA"/>
          </w:tcPr>
          <w:p>
            <w:pPr>
              <w:spacing w:after="20"/>
            </w:pPr>
            <w:r>
              <w:rPr>
                <w:sz w:val="18"/>
              </w:rPr>
              <w:t>Maintenance Logs &amp; PDF Exporter</w:t>
            </w:r>
          </w:p>
        </w:tc>
        <w:tc>
          <w:tcPr>
            <w:tcW w:type="dxa" w:w="7200"/>
            <w:shd w:val="clear" w:fill="F2F5FA"/>
          </w:tcPr>
          <w:p>
            <w:pPr>
              <w:spacing w:after="20"/>
            </w:pPr>
            <w:r>
              <w:rPr>
                <w:sz w:val="18"/>
              </w:rPr>
              <w:t>Saves the current reading to a local SQLite database, reviews and edits entries (notes, work-order status), deletes with confirmation, exports all logs as CSV or a database backup, and generates a downloadable PDF work order for any saved reading.</w:t>
            </w:r>
          </w:p>
        </w:tc>
      </w:tr>
    </w:tbl>
    <w:p>
      <w:pPr>
        <w:spacing w:after="40"/>
      </w:pPr>
    </w:p>
    <w:p>
      <w:pPr>
        <w:spacing w:before="0" w:after="120"/>
      </w:pPr>
      <w:r>
        <w:rPr>
          <w:b w:val="0"/>
          <w:i w:val="0"/>
          <w:sz w:val="20"/>
        </w:rPr>
        <w:t>Two model options are offered: a Fast-Boot tier that starts instantly with a wider, more conservative band, and a Full-Precision tier that fits a more comprehensive model. The choice is a practical deployment trade-off, not a guarantee of accuracy; the quality of any estimate still depends on how well the training data represent the conditions being assessed.</w:t>
      </w:r>
    </w:p>
    <w:p>
      <w:pPr>
        <w:spacing w:before="200" w:after="100"/>
        <w:keepNext/>
        <w:pBdr>
          <w:bottom w:val="single" w:sz="8" w:space="2" w:color="1F3864"/>
        </w:pBdr>
      </w:pPr>
      <w:r>
        <w:rPr>
          <w:b/>
          <w:i w:val="0"/>
          <w:color w:val="1F3864"/>
          <w:sz w:val="26"/>
        </w:rPr>
        <w:t>6.  PLAN FOR THE REMAINING WORK</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3744"/>
            <w:shd w:val="clear" w:fill="1F3864"/>
          </w:tcPr>
          <w:p>
            <w:pPr>
              <w:spacing w:after="20"/>
            </w:pPr>
            <w:r>
              <w:rPr>
                <w:b/>
                <w:color w:val="FFFFFF"/>
                <w:sz w:val="18"/>
              </w:rPr>
              <w:t>Work package</w:t>
            </w:r>
          </w:p>
        </w:tc>
        <w:tc>
          <w:tcPr>
            <w:tcW w:type="dxa" w:w="1584"/>
            <w:shd w:val="clear" w:fill="1F3864"/>
          </w:tcPr>
          <w:p>
            <w:pPr>
              <w:spacing w:after="20"/>
            </w:pPr>
            <w:r>
              <w:rPr>
                <w:b/>
                <w:color w:val="FFFFFF"/>
                <w:sz w:val="18"/>
              </w:rPr>
              <w:t>Status today</w:t>
            </w:r>
          </w:p>
        </w:tc>
        <w:tc>
          <w:tcPr>
            <w:tcW w:type="dxa" w:w="4608"/>
            <w:shd w:val="clear" w:fill="1F3864"/>
          </w:tcPr>
          <w:p>
            <w:pPr>
              <w:spacing w:after="20"/>
            </w:pPr>
            <w:r>
              <w:rPr>
                <w:b/>
                <w:color w:val="FFFFFF"/>
                <w:sz w:val="18"/>
              </w:rPr>
              <w:t>Plan</w:t>
            </w:r>
          </w:p>
        </w:tc>
      </w:tr>
      <w:tr>
        <w:tc>
          <w:tcPr>
            <w:tcW w:type="dxa" w:w="3744"/>
          </w:tcPr>
          <w:p>
            <w:pPr>
              <w:spacing w:after="20"/>
            </w:pPr>
            <w:r>
              <w:rPr>
                <w:sz w:val="18"/>
              </w:rPr>
              <w:t>Physics calculations, dashboard, deployment</w:t>
            </w:r>
          </w:p>
        </w:tc>
        <w:tc>
          <w:tcPr>
            <w:tcW w:type="dxa" w:w="1584"/>
          </w:tcPr>
          <w:p>
            <w:pPr>
              <w:spacing w:after="20"/>
            </w:pPr>
            <w:r>
              <w:rPr>
                <w:sz w:val="18"/>
              </w:rPr>
              <w:t>Completed</w:t>
            </w:r>
          </w:p>
        </w:tc>
        <w:tc>
          <w:tcPr>
            <w:tcW w:type="dxa" w:w="4608"/>
          </w:tcPr>
          <w:p>
            <w:pPr>
              <w:spacing w:after="20"/>
            </w:pPr>
            <w:r>
              <w:rPr>
                <w:sz w:val="18"/>
              </w:rPr>
              <w:t>Maintain; minor usability polish.</w:t>
            </w:r>
          </w:p>
        </w:tc>
      </w:tr>
      <w:tr>
        <w:tc>
          <w:tcPr>
            <w:tcW w:type="dxa" w:w="3744"/>
            <w:shd w:val="clear" w:fill="F2F5FA"/>
          </w:tcPr>
          <w:p>
            <w:pPr>
              <w:spacing w:after="20"/>
            </w:pPr>
            <w:r>
              <w:rPr>
                <w:sz w:val="18"/>
              </w:rPr>
              <w:t>Prediction models, calibration, explanations, bulletin</w:t>
            </w:r>
          </w:p>
        </w:tc>
        <w:tc>
          <w:tcPr>
            <w:tcW w:type="dxa" w:w="1584"/>
            <w:shd w:val="clear" w:fill="F2F5FA"/>
          </w:tcPr>
          <w:p>
            <w:pPr>
              <w:spacing w:after="20"/>
            </w:pPr>
            <w:r>
              <w:rPr>
                <w:sz w:val="18"/>
              </w:rPr>
              <w:t>Completed</w:t>
            </w:r>
          </w:p>
        </w:tc>
        <w:tc>
          <w:tcPr>
            <w:tcW w:type="dxa" w:w="4608"/>
            <w:shd w:val="clear" w:fill="F2F5FA"/>
          </w:tcPr>
          <w:p>
            <w:pPr>
              <w:spacing w:after="20"/>
            </w:pPr>
            <w:r>
              <w:rPr>
                <w:sz w:val="18"/>
              </w:rPr>
              <w:t>Re-check input definitions across the whole path.</w:t>
            </w:r>
          </w:p>
        </w:tc>
      </w:tr>
      <w:tr>
        <w:tc>
          <w:tcPr>
            <w:tcW w:type="dxa" w:w="3744"/>
          </w:tcPr>
          <w:p>
            <w:pPr>
              <w:spacing w:after="20"/>
            </w:pPr>
            <w:r>
              <w:rPr>
                <w:sz w:val="18"/>
              </w:rPr>
              <w:t>Logging, CSV export, PDF work orders</w:t>
            </w:r>
          </w:p>
        </w:tc>
        <w:tc>
          <w:tcPr>
            <w:tcW w:type="dxa" w:w="1584"/>
          </w:tcPr>
          <w:p>
            <w:pPr>
              <w:spacing w:after="20"/>
            </w:pPr>
            <w:r>
              <w:rPr>
                <w:sz w:val="18"/>
              </w:rPr>
              <w:t>Completed</w:t>
            </w:r>
          </w:p>
        </w:tc>
        <w:tc>
          <w:tcPr>
            <w:tcW w:type="dxa" w:w="4608"/>
          </w:tcPr>
          <w:p>
            <w:pPr>
              <w:spacing w:after="20"/>
            </w:pPr>
            <w:r>
              <w:rPr>
                <w:sz w:val="18"/>
              </w:rPr>
              <w:t>Add operator-name field to the PDF header.</w:t>
            </w:r>
          </w:p>
        </w:tc>
      </w:tr>
      <w:tr>
        <w:tc>
          <w:tcPr>
            <w:tcW w:type="dxa" w:w="3744"/>
            <w:shd w:val="clear" w:fill="F2F5FA"/>
          </w:tcPr>
          <w:p>
            <w:pPr>
              <w:spacing w:after="20"/>
            </w:pPr>
            <w:r>
              <w:rPr>
                <w:sz w:val="18"/>
              </w:rPr>
              <w:t>Representative test-case suite</w:t>
            </w:r>
          </w:p>
        </w:tc>
        <w:tc>
          <w:tcPr>
            <w:tcW w:type="dxa" w:w="1584"/>
            <w:shd w:val="clear" w:fill="F2F5FA"/>
          </w:tcPr>
          <w:p>
            <w:pPr>
              <w:spacing w:after="20"/>
            </w:pPr>
            <w:r>
              <w:rPr>
                <w:sz w:val="18"/>
              </w:rPr>
              <w:t>In progress</w:t>
            </w:r>
          </w:p>
        </w:tc>
        <w:tc>
          <w:tcPr>
            <w:tcW w:type="dxa" w:w="4608"/>
            <w:shd w:val="clear" w:fill="F2F5FA"/>
          </w:tcPr>
          <w:p>
            <w:pPr>
              <w:spacing w:after="20"/>
            </w:pPr>
            <w:r>
              <w:rPr>
                <w:sz w:val="18"/>
              </w:rPr>
              <w:t>Twenty input combinations checked against hand calculations within two weeks.</w:t>
            </w:r>
          </w:p>
        </w:tc>
      </w:tr>
      <w:tr>
        <w:tc>
          <w:tcPr>
            <w:tcW w:type="dxa" w:w="3744"/>
          </w:tcPr>
          <w:p>
            <w:pPr>
              <w:spacing w:after="20"/>
            </w:pPr>
            <w:r>
              <w:rPr>
                <w:sz w:val="18"/>
              </w:rPr>
              <w:t>Comparison with real or public machining data</w:t>
            </w:r>
          </w:p>
        </w:tc>
        <w:tc>
          <w:tcPr>
            <w:tcW w:type="dxa" w:w="1584"/>
          </w:tcPr>
          <w:p>
            <w:pPr>
              <w:spacing w:after="20"/>
            </w:pPr>
            <w:r>
              <w:rPr>
                <w:sz w:val="18"/>
              </w:rPr>
              <w:t>Planned</w:t>
            </w:r>
          </w:p>
        </w:tc>
        <w:tc>
          <w:tcPr>
            <w:tcW w:type="dxa" w:w="4608"/>
          </w:tcPr>
          <w:p>
            <w:pPr>
              <w:spacing w:after="20"/>
            </w:pPr>
            <w:r>
              <w:rPr>
                <w:sz w:val="18"/>
              </w:rPr>
              <w:t>Cross-check outputs against a public tool-wear dataset before the final report.</w:t>
            </w:r>
          </w:p>
        </w:tc>
      </w:tr>
      <w:tr>
        <w:tc>
          <w:tcPr>
            <w:tcW w:type="dxa" w:w="3744"/>
            <w:shd w:val="clear" w:fill="F2F5FA"/>
          </w:tcPr>
          <w:p>
            <w:pPr>
              <w:spacing w:after="20"/>
            </w:pPr>
            <w:r>
              <w:rPr>
                <w:sz w:val="18"/>
              </w:rPr>
              <w:t>Sensor feasibility and cost module</w:t>
            </w:r>
          </w:p>
        </w:tc>
        <w:tc>
          <w:tcPr>
            <w:tcW w:type="dxa" w:w="1584"/>
            <w:shd w:val="clear" w:fill="F2F5FA"/>
          </w:tcPr>
          <w:p>
            <w:pPr>
              <w:spacing w:after="20"/>
            </w:pPr>
            <w:r>
              <w:rPr>
                <w:sz w:val="18"/>
              </w:rPr>
              <w:t>Planned</w:t>
            </w:r>
          </w:p>
        </w:tc>
        <w:tc>
          <w:tcPr>
            <w:tcW w:type="dxa" w:w="4608"/>
            <w:shd w:val="clear" w:fill="F2F5FA"/>
          </w:tcPr>
          <w:p>
            <w:pPr>
              <w:spacing w:after="20"/>
            </w:pPr>
            <w:r>
              <w:rPr>
                <w:sz w:val="18"/>
              </w:rPr>
              <w:t>Study vibration/AE attachment options and outline a cost-aware planning note.</w:t>
            </w:r>
          </w:p>
        </w:tc>
      </w:tr>
    </w:tbl>
    <w:p>
      <w:pPr>
        <w:spacing w:after="40"/>
      </w:pPr>
    </w:p>
    <w:p>
      <w:pPr>
        <w:spacing w:before="0" w:after="120"/>
      </w:pPr>
      <w:r>
        <w:rPr>
          <w:b w:val="0"/>
          <w:i w:val="0"/>
          <w:sz w:val="20"/>
        </w:rPr>
        <w:t>Division of responsibility: Arvapalli Sai Adarsh — physics calculator, dashboard and deployment; A. Meghana — data generation, model training and calibration; M. Muzammil — logging, PDF work orders, knowledge-base content and the test suite. Acceptance checks for the remaining work: wear error stays below 0.02 mm on held-out runs, the uncertainty band covers the truth 85–95 % of the time, the scrap signal keeps an AUC above 0.80, and a full log → edit → export → PDF cycle loses no data.</w:t>
      </w:r>
    </w:p>
    <w:p>
      <w:pPr>
        <w:spacing w:before="200" w:after="100"/>
        <w:keepNext/>
        <w:pBdr>
          <w:bottom w:val="single" w:sz="8" w:space="2" w:color="1F3864"/>
        </w:pBdr>
      </w:pPr>
      <w:r>
        <w:rPr>
          <w:b/>
          <w:i w:val="0"/>
          <w:color w:val="1F3864"/>
          <w:sz w:val="26"/>
        </w:rPr>
        <w:t>7.  SCOPE AND LIMITATIONS</w:t>
      </w:r>
    </w:p>
    <w:p>
      <w:pPr>
        <w:pStyle w:val="ListBullet"/>
        <w:spacing w:after="40"/>
      </w:pPr>
      <w:r>
        <w:rPr>
          <w:sz w:val="21"/>
        </w:rPr>
        <w:t>The predictive workflow uses simulated, physics-informed machining telemetry; the system is not connected to live CNC sensors and must not be described as real-time sensor monitoring.</w:t>
      </w:r>
    </w:p>
    <w:p>
      <w:pPr>
        <w:pStyle w:val="ListBullet"/>
        <w:spacing w:after="40"/>
      </w:pPr>
      <w:r>
        <w:rPr>
          <w:sz w:val="21"/>
        </w:rPr>
        <w:t>Estimates are only as good as the data and operating conditions represented during development; some indicators may not capture every effect of a real machine, tool, workpiece and coolant arrangement.</w:t>
      </w:r>
    </w:p>
    <w:p>
      <w:pPr>
        <w:pStyle w:val="ListBullet"/>
        <w:spacing w:after="40"/>
      </w:pPr>
      <w:r>
        <w:rPr>
          <w:sz w:val="21"/>
        </w:rPr>
        <w:t>The application cannot guarantee that scrap will be prevented, and the risk category is not a substitute for inspection or quality-control procedures.</w:t>
      </w:r>
    </w:p>
    <w:p>
      <w:pPr>
        <w:pStyle w:val="ListBullet"/>
        <w:spacing w:after="40"/>
      </w:pPr>
      <w:r>
        <w:rPr>
          <w:sz w:val="21"/>
        </w:rPr>
        <w:t>Validation with real machining measurements and controlled trials is required before outputs are relied on for production-critical decisions.</w:t>
      </w:r>
    </w:p>
    <w:p>
      <w:pPr>
        <w:pStyle w:val="ListBullet"/>
        <w:spacing w:after="40"/>
      </w:pPr>
      <w:r>
        <w:rPr>
          <w:sz w:val="21"/>
        </w:rPr>
        <w:t>A complete cost and production-economics analysis is outside the present scope.</w:t>
      </w:r>
    </w:p>
    <w:p>
      <w:pPr>
        <w:spacing w:before="200" w:after="100"/>
        <w:keepNext/>
        <w:pBdr>
          <w:bottom w:val="single" w:sz="8" w:space="2" w:color="1F3864"/>
        </w:pBdr>
      </w:pPr>
      <w:r>
        <w:rPr>
          <w:b/>
          <w:i w:val="0"/>
          <w:color w:val="1F3864"/>
          <w:sz w:val="26"/>
        </w:rPr>
        <w:t>8.  CONCLUSION</w:t>
      </w:r>
    </w:p>
    <w:p>
      <w:pPr>
        <w:spacing w:before="0" w:after="120"/>
      </w:pPr>
      <w:r>
        <w:rPr>
          <w:b w:val="0"/>
          <w:i w:val="0"/>
          <w:sz w:val="21"/>
        </w:rPr>
        <w:t>CNC Tool Wear Prediction And Scrap Risk Signal brings machining calculations, tool-wear estimation, scrap-risk indication and operator-oriented explanation into one workflow. The central idea is to convert selected process conditions into results that can be understood and reviewed, rather than relying on an unexplained prediction. A working, publicly deployed version already demonstrates the full chain from input to PDF work order; the remaining work focuses on testing against real data. The system stays a decision-support aid, and its practical value must be established through careful validation with real machining measurements.</w:t>
      </w:r>
    </w:p>
    <w:p>
      <w:pPr>
        <w:spacing w:before="200" w:after="100"/>
        <w:keepNext/>
        <w:pBdr>
          <w:bottom w:val="single" w:sz="8" w:space="2" w:color="1F3864"/>
        </w:pBdr>
      </w:pPr>
      <w:r>
        <w:rPr>
          <w:b/>
          <w:i w:val="0"/>
          <w:color w:val="1F3864"/>
          <w:sz w:val="26"/>
        </w:rPr>
        <w:t>REFERENCES</w:t>
      </w:r>
    </w:p>
    <w:p>
      <w:pPr>
        <w:spacing w:before="0" w:after="40"/>
      </w:pPr>
      <w:r>
        <w:rPr>
          <w:b w:val="0"/>
          <w:i w:val="0"/>
          <w:sz w:val="18"/>
        </w:rPr>
        <w:t>[1]  Dong &amp; Li (2022). Computer-vision measurement of tool flank wear. ASME Journal of Computing and Information Science in Engineering. DOI: 10.1115/1.4053919.</w:t>
      </w:r>
    </w:p>
    <w:p>
      <w:pPr>
        <w:spacing w:before="0" w:after="40"/>
      </w:pPr>
      <w:r>
        <w:rPr>
          <w:b w:val="0"/>
          <w:i w:val="0"/>
          <w:sz w:val="18"/>
        </w:rPr>
        <w:t>[2]  Fan (2026). Lightweight edge-side deep reinforcement learning for tool-wear prediction. DAPIC 2026. DOI: 10.23919/DAPIC.2026.00023.</w:t>
      </w:r>
    </w:p>
    <w:p>
      <w:pPr>
        <w:spacing w:before="0" w:after="40"/>
      </w:pPr>
      <w:r>
        <w:rPr>
          <w:b w:val="0"/>
          <w:i w:val="0"/>
          <w:sz w:val="18"/>
        </w:rPr>
        <w:t>[3]  Munaro et al. (2023). Review of 77 studies on tool-wear monitoring in machining. Journal of Manufacturing and Materials Processing. DOI: 10.3390/jmmp7040129.</w:t>
      </w:r>
    </w:p>
    <w:p>
      <w:pPr>
        <w:spacing w:before="0" w:after="40"/>
      </w:pPr>
      <w:r>
        <w:rPr>
          <w:b w:val="0"/>
          <w:i w:val="0"/>
          <w:sz w:val="18"/>
        </w:rPr>
        <w:t>[4]  ISO 3685:1993. Tool-life testing with single-point turning tools — flank-wear criteria.</w:t>
      </w:r>
    </w:p>
    <w:p>
      <w:pPr>
        <w:spacing w:before="120" w:after="120"/>
      </w:pPr>
      <w:r>
        <w:rPr>
          <w:b w:val="0"/>
          <w:i/>
          <w:color w:val="595959"/>
          <w:sz w:val="18"/>
        </w:rPr>
        <w:t>Project team: Arvapalli Sai Adarsh (1602-24-736-039), A. Meghana (1602-24-736-022), M. Muzammil (1602-24-736-027) · Vasavi College of Engineering (Autonomous), Department of Mechanical Engineering, 2026.</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95959"/>
        <w:sz w:val="16"/>
      </w:rPr>
      <w:t xml:space="preserve">Vasavi College of Engineering (Autonomous) · Department of Mechanical Engineering · Page </w:t>
    </w:r>
    <w:r>
      <w:rPr>
        <w:color w:val="595959"/>
        <w:sz w:val="16"/>
      </w:rPr>
      <w:fldChar w:fldCharType="begin"/>
      <w:instrText xml:space="preserve">PAGE</w:instrText>
      <w:fldChar w:fldCharType="end"/>
    </w:r>
    <w:r>
      <w:rPr>
        <w:color w:val="595959"/>
        <w:sz w:val="16"/>
      </w:rPr>
      <w:t xml:space="preserve"> of </w:t>
    </w:r>
    <w:r>
      <w:rPr>
        <w:color w:val="595959"/>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6"/>
      </w:rPr>
      <w:t>CNC Tool Wear Prediction And Scrap Risk Signal  |  Mini Project — Initial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cnc-tool-wear-system.streamlit.app/" TargetMode="External"/><Relationship Id="rId12" Type="http://schemas.openxmlformats.org/officeDocument/2006/relationships/hyperlink" Target="https://github.com/ArvapalliSaiAdarsh39/cnc-tool-wear-syste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