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</w:pPr>
      <w:r>
        <w:t>标策 BidPilot</w:t>
      </w:r>
    </w:p>
    <w:p>
      <w:pPr>
        <w:spacing w:after="72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AI 标书 Agent 产品需求文档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81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20"/>
              </w:rPr>
              <w:t>文档类型</w:t>
            </w:r>
          </w:p>
        </w:tc>
        <w:tc>
          <w:tcPr>
            <w:tcW w:type="dxa" w:w="51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32323"/>
                <w:sz w:val="20"/>
              </w:rPr>
              <w:t>AI 产品经理作品集 PRD</w:t>
            </w:r>
          </w:p>
        </w:tc>
      </w:tr>
      <w:tr>
        <w:tc>
          <w:tcPr>
            <w:tcW w:type="dxa" w:w="181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20"/>
              </w:rPr>
              <w:t>产品形态</w:t>
            </w:r>
          </w:p>
        </w:tc>
        <w:tc>
          <w:tcPr>
            <w:tcW w:type="dxa" w:w="51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32323"/>
                <w:sz w:val="20"/>
              </w:rPr>
              <w:t>软件服务企业投标响应辅助 Agent</w:t>
            </w:r>
          </w:p>
        </w:tc>
      </w:tr>
      <w:tr>
        <w:tc>
          <w:tcPr>
            <w:tcW w:type="dxa" w:w="181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20"/>
              </w:rPr>
              <w:t>版本</w:t>
            </w:r>
          </w:p>
        </w:tc>
        <w:tc>
          <w:tcPr>
            <w:tcW w:type="dxa" w:w="51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32323"/>
                <w:sz w:val="20"/>
              </w:rPr>
              <w:t>V1.0</w:t>
            </w:r>
          </w:p>
        </w:tc>
      </w:tr>
      <w:tr>
        <w:tc>
          <w:tcPr>
            <w:tcW w:type="dxa" w:w="181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32323"/>
                <w:sz w:val="20"/>
              </w:rPr>
              <w:t>更新日期</w:t>
            </w:r>
          </w:p>
        </w:tc>
        <w:tc>
          <w:tcPr>
            <w:tcW w:type="dxa" w:w="510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10" w:type="dxa"/>
              <w:bottom w:w="13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232323"/>
                <w:sz w:val="20"/>
              </w:rPr>
              <w:t>2026 年 9 月 23 日</w:t>
            </w:r>
          </w:p>
        </w:tc>
      </w:tr>
    </w:tbl>
    <w:p>
      <w:pPr>
        <w:spacing w:before="840"/>
        <w:jc w:val="center"/>
      </w:pPr>
      <w:r>
        <w:rPr>
          <w:rFonts w:ascii="Microsoft YaHei" w:hAnsi="Microsoft YaHei" w:eastAsia="Microsoft YaHei"/>
          <w:color w:val="5F5F5F"/>
          <w:sz w:val="20"/>
        </w:rPr>
        <w:t>用于产品评审 研发协作 效果评测与求职展示</w:t>
      </w:r>
    </w:p>
    <w:p>
      <w:r>
        <w:br w:type="page"/>
      </w:r>
    </w:p>
    <w:p>
      <w:pPr>
        <w:pStyle w:val="Heading1"/>
        <w:spacing w:after="240"/>
      </w:pPr>
      <w:r>
        <w:t>目录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1. 文档目的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2. 项目背景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2.1 业务现状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2.2 核心问题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3. 产品定位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3.1 产品定义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3.2 目标用户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3.3 决策者、付费方与潜在阻力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4. 产品目标与非目标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4.1 产品目标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4.2 当前非目标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5. 成功指标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5.1 北极星指标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5.2 AI 效果指标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5.3 产品与业务指标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6. 用户故事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6.1 核心用户故事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6.2 关键使用场景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7. 核心业务流程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8. 功能需求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8.1 项目管理与文件上传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8.2 招标要求提取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8.3 企业材料库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8.4 证据检索与状态判断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8.5 材料缺口闭环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8.6 标书生成 Agent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8.7 人工审核与 Word 导出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8.8 效果评测与成本面板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9. AI 与 Agent 方案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9.1 Agent 工作流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9.2 模型选型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9.3 Prompt 管理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9.4 Human-in-the-loop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10. 数据闭环与迭代机制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10.1 数据来源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10.2 迭代闭环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10.3 Bad Case 分类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11. 竞品与替代方案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12. 权限、安全与合规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12.1 当前版本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12.2 生产化要求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13. 异常与降级策略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14. 非功能需求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15. 版本范围与路线图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V1.0：作品集可运行版本（已实现）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V1.1：效果提升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V2.0：企业协作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16. 上线验收标准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16.1 功能验收</w:t>
      </w:r>
    </w:p>
    <w:p>
      <w:pPr>
        <w:spacing w:after="40"/>
        <w:ind w:left="397"/>
      </w:pPr>
      <w:r>
        <w:rPr>
          <w:rFonts w:ascii="Microsoft YaHei" w:hAnsi="Microsoft YaHei" w:eastAsia="Microsoft YaHei"/>
          <w:b w:val="0"/>
          <w:color w:val="5F5F5F"/>
          <w:sz w:val="18"/>
        </w:rPr>
        <w:t>16.2 质量门槛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17. ROI 测算框架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18. 与中国 AI 产品经理实习 JD 的能力映射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19. 面试讲解建议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20. 招聘要求调研依据</w:t>
      </w:r>
    </w:p>
    <w:p>
      <w:pPr>
        <w:spacing w:after="80"/>
        <w:ind w:left="0"/>
      </w:pPr>
      <w:r>
        <w:rPr>
          <w:rFonts w:ascii="Microsoft YaHei" w:hAnsi="Microsoft YaHei" w:eastAsia="Microsoft YaHei"/>
          <w:b/>
          <w:color w:val="232323"/>
          <w:sz w:val="20"/>
        </w:rPr>
        <w:t>附录 A：当前已验证结果</w:t>
      </w:r>
    </w:p>
    <w:p>
      <w:r>
        <w:br w:type="page"/>
      </w:r>
    </w:p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color w:val="5F5F5F"/>
          <w:sz w:val="19"/>
        </w:rPr>
        <w:t>文档类型：作品集 PRD</w:t>
      </w:r>
    </w:p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color w:val="5F5F5F"/>
          <w:sz w:val="19"/>
        </w:rPr>
        <w:t>版本：V1.0</w:t>
      </w:r>
    </w:p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color w:val="5F5F5F"/>
          <w:sz w:val="19"/>
        </w:rPr>
        <w:t>更新日期：2026-09-23</w:t>
      </w:r>
    </w:p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color w:val="5F5F5F"/>
          <w:sz w:val="19"/>
        </w:rPr>
        <w:t>产品形态：面向软件服务企业售前与投标团队的本地 AI 工作台</w:t>
      </w:r>
    </w:p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color w:val="5F5F5F"/>
          <w:sz w:val="19"/>
        </w:rPr>
        <w:t>文档状态：已实现能力复盘 + 下一阶段规划</w:t>
      </w:r>
    </w:p>
    <w:p>
      <w:pPr>
        <w:pStyle w:val="Heading1"/>
      </w:pPr>
      <w:r>
        <w:t>1. 文档目的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本 PRD 用于说明 BidPilot 的业务问题、用户流程、AI 方案、功能范围、评测体系、成本与安全边界，并作为产品、算法、研发、测试和面试评审的统一依据。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本项目同时承担 AI 产品经理作品集的作用，重点展示以下能力：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从企业投标场景中识别用户、决策者、付费方及风险承担者。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将模糊业务问题拆解为结构化需求、Agent 工作流和可验收功能。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理解大模型、Prompt、证据检索、结构化输出、人工审核和降级策略。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建立测试集、效果指标、Bad Case 与迭代闭环。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关注 Token 成本、响应时间、数据安全和企业交付边界。</w:t>
      </w:r>
    </w:p>
    <w:p>
      <w:pPr>
        <w:pStyle w:val="Heading1"/>
      </w:pPr>
      <w:r>
        <w:t>2. 项目背景</w:t>
      </w:r>
    </w:p>
    <w:p>
      <w:pPr>
        <w:pStyle w:val="Heading2"/>
      </w:pPr>
      <w:r>
        <w:t>2.1 业务现状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软件服务企业参与政务、教育和园区数字化项目投标时，售前或投标专员通常需要完成以下工作：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1. 阅读招标文件并整理资格、技术、商务和时间要求。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2. 在企业材料库中查找营业执照、资质、人员证书、项目案例和服务方案。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3. 判断企业是否满足要求，记录缺失材料并协调业务负责人补充。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4. 编写技术与服务方案、逐条响应表及附件清单。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5. 多轮检查是否遗漏条款、误用材料或作出无法兑现的承诺。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上述工作具有文本量大、重复检索多、协作链路长和合规风险高的特点。通用大模型可以提升写作速度，但容易产生无依据的资质、案例、数字和服务承诺，不能直接作为正式投标文件使用。</w:t>
      </w:r>
    </w:p>
    <w:p>
      <w:pPr>
        <w:pStyle w:val="Heading2"/>
      </w:pPr>
      <w:r>
        <w:t>2.2 核心问题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8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业务后果</w:t>
            </w:r>
          </w:p>
        </w:tc>
        <w:tc>
          <w:tcPr>
            <w:tcW w:type="dxa" w:w="36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产品机会</w:t>
            </w:r>
          </w:p>
        </w:tc>
      </w:tr>
      <w:tr>
        <w:trPr>
          <w:cantSplit/>
        </w:trPr>
        <w:tc>
          <w:tcPr>
            <w:tcW w:type="dxa" w:w="2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招标条款分散且表达不统一</w:t>
            </w:r>
          </w:p>
        </w:tc>
        <w:tc>
          <w:tcPr>
            <w:tcW w:type="dxa" w:w="28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遗漏资格条件或关键时间节点</w:t>
            </w:r>
          </w:p>
        </w:tc>
        <w:tc>
          <w:tcPr>
            <w:tcW w:type="dxa" w:w="3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自动提取并保留原文位置</w:t>
            </w:r>
          </w:p>
        </w:tc>
      </w:tr>
      <w:tr>
        <w:trPr>
          <w:cantSplit/>
        </w:trPr>
        <w:tc>
          <w:tcPr>
            <w:tcW w:type="dxa" w:w="27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企业材料依赖人工搜索</w:t>
            </w:r>
          </w:p>
        </w:tc>
        <w:tc>
          <w:tcPr>
            <w:tcW w:type="dxa" w:w="288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查找时间长、材料版本容易混用</w:t>
            </w:r>
          </w:p>
        </w:tc>
        <w:tc>
          <w:tcPr>
            <w:tcW w:type="dxa" w:w="360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建立企业材料库与证据匹配</w:t>
            </w:r>
          </w:p>
        </w:tc>
      </w:tr>
      <w:tr>
        <w:trPr>
          <w:cantSplit/>
        </w:trPr>
        <w:tc>
          <w:tcPr>
            <w:tcW w:type="dxa" w:w="2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生成式 AI 可能编造事实</w:t>
            </w:r>
          </w:p>
        </w:tc>
        <w:tc>
          <w:tcPr>
            <w:tcW w:type="dxa" w:w="28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形成虚假承诺和合规风险</w:t>
            </w:r>
          </w:p>
        </w:tc>
        <w:tc>
          <w:tcPr>
            <w:tcW w:type="dxa" w:w="3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以证据约束生成，缺失时强制占位</w:t>
            </w:r>
          </w:p>
        </w:tc>
      </w:tr>
      <w:tr>
        <w:trPr>
          <w:cantSplit/>
        </w:trPr>
        <w:tc>
          <w:tcPr>
            <w:tcW w:type="dxa" w:w="27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缺口通过聊天或表格分散跟进</w:t>
            </w:r>
          </w:p>
        </w:tc>
        <w:tc>
          <w:tcPr>
            <w:tcW w:type="dxa" w:w="288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责任不清、补充后没有及时更新标书</w:t>
            </w:r>
          </w:p>
        </w:tc>
        <w:tc>
          <w:tcPr>
            <w:tcW w:type="dxa" w:w="360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建立“缺口—补材料—重算—再生成”闭环</w:t>
            </w:r>
          </w:p>
        </w:tc>
      </w:tr>
      <w:tr>
        <w:trPr>
          <w:cantSplit/>
        </w:trPr>
        <w:tc>
          <w:tcPr>
            <w:tcW w:type="dxa" w:w="2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只看生成结果，无法判断系统质量</w:t>
            </w:r>
          </w:p>
        </w:tc>
        <w:tc>
          <w:tcPr>
            <w:tcW w:type="dxa" w:w="28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迭代缺乏客观依据</w:t>
            </w:r>
          </w:p>
        </w:tc>
        <w:tc>
          <w:tcPr>
            <w:tcW w:type="dxa" w:w="3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固定测试集、Bad Case 和版本回归</w:t>
            </w:r>
          </w:p>
        </w:tc>
      </w:tr>
      <w:tr>
        <w:trPr>
          <w:cantSplit/>
        </w:trPr>
        <w:tc>
          <w:tcPr>
            <w:tcW w:type="dxa" w:w="27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模型调用成本不可见</w:t>
            </w:r>
          </w:p>
        </w:tc>
        <w:tc>
          <w:tcPr>
            <w:tcW w:type="dxa" w:w="288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难以评估规模化使用的 ROI</w:t>
            </w:r>
          </w:p>
        </w:tc>
        <w:tc>
          <w:tcPr>
            <w:tcW w:type="dxa" w:w="360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记录 Token、耗时和调用操作</w:t>
            </w:r>
          </w:p>
        </w:tc>
      </w:tr>
    </w:tbl>
    <w:p>
      <w:pPr>
        <w:spacing w:after="40"/>
      </w:pPr>
    </w:p>
    <w:p>
      <w:pPr>
        <w:pStyle w:val="Heading1"/>
      </w:pPr>
      <w:r>
        <w:t>3. 产品定位</w:t>
      </w:r>
    </w:p>
    <w:p>
      <w:pPr>
        <w:pStyle w:val="Heading2"/>
      </w:pPr>
      <w:r>
        <w:t>3.1 产品定义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BidPilot 是一款投标响应辅助 Agent。系统读取招标文件，将要求转为结构化清单，从投标企业材料中检索证据，识别材料缺口，并生成带引用、可继续编辑的 Word 标书初稿。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产品采用“要求—证据—响应”三层结构。大模型负责条款抽取和正式语言生成，本地规则负责证据检索、状态判断、数字约束和降级处理，关键结果由人工复核。</w:t>
      </w:r>
    </w:p>
    <w:p>
      <w:pPr>
        <w:pStyle w:val="Heading2"/>
      </w:pPr>
      <w:r>
        <w:t>3.2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70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99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21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234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产品价值</w:t>
            </w:r>
          </w:p>
        </w:tc>
      </w:tr>
      <w:tr>
        <w:trPr>
          <w:cantSplit/>
        </w:trPr>
        <w:tc>
          <w:tcPr>
            <w:tcW w:type="dxa" w:w="17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投标专员</w:t>
            </w:r>
          </w:p>
        </w:tc>
        <w:tc>
          <w:tcPr>
            <w:tcW w:type="dxa" w:w="29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整理条款、编制标书、汇总附件</w:t>
            </w:r>
          </w:p>
        </w:tc>
        <w:tc>
          <w:tcPr>
            <w:tcW w:type="dxa" w:w="21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重复整理、容易遗漏</w:t>
            </w:r>
          </w:p>
        </w:tc>
        <w:tc>
          <w:tcPr>
            <w:tcW w:type="dxa" w:w="23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自动生成清单和初稿</w:t>
            </w:r>
          </w:p>
        </w:tc>
      </w:tr>
      <w:tr>
        <w:trPr>
          <w:cantSplit/>
        </w:trPr>
        <w:tc>
          <w:tcPr>
            <w:tcW w:type="dxa" w:w="170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售前经理</w:t>
            </w:r>
          </w:p>
        </w:tc>
        <w:tc>
          <w:tcPr>
            <w:tcW w:type="dxa" w:w="299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设计技术方案、协调企业资源</w:t>
            </w:r>
          </w:p>
        </w:tc>
        <w:tc>
          <w:tcPr>
            <w:tcW w:type="dxa" w:w="21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材料分散、响应时间紧</w:t>
            </w:r>
          </w:p>
        </w:tc>
        <w:tc>
          <w:tcPr>
            <w:tcW w:type="dxa" w:w="234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快速定位依据和缺口</w:t>
            </w:r>
          </w:p>
        </w:tc>
      </w:tr>
      <w:tr>
        <w:trPr>
          <w:cantSplit/>
        </w:trPr>
        <w:tc>
          <w:tcPr>
            <w:tcW w:type="dxa" w:w="17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交付/技术负责人</w:t>
            </w:r>
          </w:p>
        </w:tc>
        <w:tc>
          <w:tcPr>
            <w:tcW w:type="dxa" w:w="29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确认服务能力和技术承诺</w:t>
            </w:r>
          </w:p>
        </w:tc>
        <w:tc>
          <w:tcPr>
            <w:tcW w:type="dxa" w:w="21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担心过度承诺</w:t>
            </w:r>
          </w:p>
        </w:tc>
        <w:tc>
          <w:tcPr>
            <w:tcW w:type="dxa" w:w="23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明确展示待确认项</w:t>
            </w:r>
          </w:p>
        </w:tc>
      </w:tr>
      <w:tr>
        <w:trPr>
          <w:cantSplit/>
        </w:trPr>
        <w:tc>
          <w:tcPr>
            <w:tcW w:type="dxa" w:w="170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商务负责人</w:t>
            </w:r>
          </w:p>
        </w:tc>
        <w:tc>
          <w:tcPr>
            <w:tcW w:type="dxa" w:w="2990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确认合同条款和报价</w:t>
            </w:r>
          </w:p>
        </w:tc>
        <w:tc>
          <w:tcPr>
            <w:tcW w:type="dxa" w:w="213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报价边界复杂</w:t>
            </w:r>
          </w:p>
        </w:tc>
        <w:tc>
          <w:tcPr>
            <w:tcW w:type="dxa" w:w="234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报价缺失时强制人工补充</w:t>
            </w:r>
          </w:p>
        </w:tc>
      </w:tr>
      <w:tr>
        <w:trPr>
          <w:cantSplit/>
        </w:trPr>
        <w:tc>
          <w:tcPr>
            <w:tcW w:type="dxa" w:w="17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部门负责人</w:t>
            </w:r>
          </w:p>
        </w:tc>
        <w:tc>
          <w:tcPr>
            <w:tcW w:type="dxa" w:w="29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决定是否参与投标</w:t>
            </w:r>
          </w:p>
        </w:tc>
        <w:tc>
          <w:tcPr>
            <w:tcW w:type="dxa" w:w="21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缺少整体风险视图</w:t>
            </w:r>
          </w:p>
        </w:tc>
        <w:tc>
          <w:tcPr>
            <w:tcW w:type="dxa" w:w="23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查看满足情况和关键缺口</w:t>
            </w:r>
          </w:p>
        </w:tc>
      </w:tr>
    </w:tbl>
    <w:p>
      <w:pPr>
        <w:spacing w:after="40"/>
      </w:pPr>
    </w:p>
    <w:p>
      <w:pPr>
        <w:pStyle w:val="Heading2"/>
      </w:pPr>
      <w:r>
        <w:t>3.3 决策者、付费方与潜在阻力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决策者：售前负责人、投标管理负责人、企业数字化负责人。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付费方：销售或售前部门、企业信息化部门。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主要使用者：投标专员、售前经理。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潜在阻力：担心岗位被替代的标书人员、担心错误承诺的法务与交付团队、担心文件泄露的信息安全部门。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产品策略：定位为辅助核查和初稿工具，将原文、证据、缺口与人工审核显式呈现，不以全自动替代专业人员为目标。</w:t>
      </w:r>
    </w:p>
    <w:p>
      <w:pPr>
        <w:pStyle w:val="Heading1"/>
      </w:pPr>
      <w:r>
        <w:t>4. 产品目标与非目标</w:t>
      </w:r>
    </w:p>
    <w:p>
      <w:pPr>
        <w:pStyle w:val="Heading2"/>
      </w:pPr>
      <w:r>
        <w:t>4.1 产品目标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1. 将可复制文字的招标文件转换为可追溯的要求清单。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2. 为每项要求匹配企业材料，并区分“有依据、待确认、材料缺口、待跟进”。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3. 允许用户从缺口条款直接补充材料并自动重新匹配。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 xml:space="preserve">4. 生成正式结构的标书初稿，材料不足时统一标记 </w:t>
      </w:r>
      <w:r>
        <w:rPr>
          <w:rFonts w:ascii="Consolas" w:hAnsi="Consolas" w:eastAsia="Consolas"/>
          <w:color w:val="3C3C3C"/>
          <w:sz w:val="20"/>
        </w:rPr>
        <w:t>【待补充】</w:t>
      </w:r>
      <w:r>
        <w:rPr>
          <w:rFonts w:ascii="Microsoft YaHei" w:hAnsi="Microsoft YaHei" w:eastAsia="Microsoft YaHei"/>
          <w:color w:val="232323"/>
          <w:sz w:val="21"/>
        </w:rPr>
        <w:t>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5. 通过固定标注集衡量要求、证据、状态和最终响应质量。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6. 记录实际模型调用的 Token 与耗时，为成本测算提供基础。</w:t>
      </w:r>
    </w:p>
    <w:p>
      <w:pPr>
        <w:pStyle w:val="Heading2"/>
      </w:pPr>
      <w:r>
        <w:t>4.2 当前非目标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不自动生成无法验证的报价金额。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不替代法务、商务和项目负责人作出正式承诺。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不验证营业执照、证书或合同原件的真实性。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不处理扫描件 OCR、复杂图表和完整招标排版。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不直接完成电子签章、投标平台提交和保证金支付。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当前版本不提供企业级多租户、SSO、权限审批和完整审计能力。</w:t>
      </w:r>
    </w:p>
    <w:p>
      <w:pPr>
        <w:pStyle w:val="Heading1"/>
      </w:pPr>
      <w:r>
        <w:t>5. 成功指标</w:t>
      </w:r>
    </w:p>
    <w:p>
      <w:pPr>
        <w:pStyle w:val="Heading2"/>
      </w:pPr>
      <w:r>
        <w:t>5.1 北极星指标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可核查正确响应率</w:t>
      </w:r>
      <w:r>
        <w:rPr>
          <w:rFonts w:ascii="Microsoft YaHei" w:hAnsi="Microsoft YaHei" w:eastAsia="Microsoft YaHei"/>
          <w:color w:val="232323"/>
          <w:sz w:val="21"/>
        </w:rPr>
        <w:t>：在标注集中，要求被正确提取、状态判断正确、首要证据正确且响应遵守防编造规则的条款，占全部标注要求的比例。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 xml:space="preserve">当前离线规则基线为 </w:t>
      </w:r>
      <w:r>
        <w:rPr>
          <w:rFonts w:ascii="Microsoft YaHei" w:hAnsi="Microsoft YaHei" w:eastAsia="Microsoft YaHei"/>
          <w:b/>
          <w:color w:val="232323"/>
          <w:sz w:val="21"/>
        </w:rPr>
        <w:t>81.1%（60/74）</w:t>
      </w:r>
      <w:r>
        <w:rPr>
          <w:rFonts w:ascii="Microsoft YaHei" w:hAnsi="Microsoft YaHei" w:eastAsia="Microsoft YaHei"/>
          <w:color w:val="232323"/>
          <w:sz w:val="21"/>
        </w:rPr>
        <w:t>。该结果来自合成测试集，不代表真实生产效果，也不能归因于大模型。</w:t>
      </w:r>
    </w:p>
    <w:p>
      <w:pPr>
        <w:pStyle w:val="Heading2"/>
      </w:pPr>
      <w:r>
        <w:t>5.2 AI 效果指标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06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82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11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当前基线</w:t>
            </w:r>
          </w:p>
        </w:tc>
        <w:tc>
          <w:tcPr>
            <w:tcW w:type="dxa" w:w="11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方向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要求召回率</w:t>
            </w:r>
          </w:p>
        </w:tc>
        <w:tc>
          <w:tcPr>
            <w:tcW w:type="dxa" w:w="48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被识别的标注要求 / 全部标注要求</w:t>
            </w:r>
          </w:p>
        </w:tc>
        <w:tc>
          <w:tcPr>
            <w:tcW w:type="dxa" w:w="11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93.2%</w:t>
            </w:r>
          </w:p>
        </w:tc>
        <w:tc>
          <w:tcPr>
            <w:tcW w:type="dxa" w:w="11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越高越好</w:t>
            </w:r>
          </w:p>
        </w:tc>
      </w:tr>
      <w:tr>
        <w:trPr>
          <w:cantSplit/>
        </w:trPr>
        <w:tc>
          <w:tcPr>
            <w:tcW w:type="dxa" w:w="20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要求准确率</w:t>
            </w:r>
          </w:p>
        </w:tc>
        <w:tc>
          <w:tcPr>
            <w:tcW w:type="dxa" w:w="482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能对应标注的提取要求 / 全部提取要求</w:t>
            </w:r>
          </w:p>
        </w:tc>
        <w:tc>
          <w:tcPr>
            <w:tcW w:type="dxa" w:w="11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100%</w:t>
            </w:r>
          </w:p>
        </w:tc>
        <w:tc>
          <w:tcPr>
            <w:tcW w:type="dxa" w:w="11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越高越好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状态准确率</w:t>
            </w:r>
          </w:p>
        </w:tc>
        <w:tc>
          <w:tcPr>
            <w:tcW w:type="dxa" w:w="48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状态判断正确数 / 已匹配要求数</w:t>
            </w:r>
          </w:p>
        </w:tc>
        <w:tc>
          <w:tcPr>
            <w:tcW w:type="dxa" w:w="11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92.8%</w:t>
            </w:r>
          </w:p>
        </w:tc>
        <w:tc>
          <w:tcPr>
            <w:tcW w:type="dxa" w:w="11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越高越好</w:t>
            </w:r>
          </w:p>
        </w:tc>
      </w:tr>
      <w:tr>
        <w:trPr>
          <w:cantSplit/>
        </w:trPr>
        <w:tc>
          <w:tcPr>
            <w:tcW w:type="dxa" w:w="20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首要证据准确率</w:t>
            </w:r>
          </w:p>
        </w:tc>
        <w:tc>
          <w:tcPr>
            <w:tcW w:type="dxa" w:w="482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Top1 证据正确数 / 已评估要求数</w:t>
            </w:r>
          </w:p>
        </w:tc>
        <w:tc>
          <w:tcPr>
            <w:tcW w:type="dxa" w:w="11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94.2%</w:t>
            </w:r>
          </w:p>
        </w:tc>
        <w:tc>
          <w:tcPr>
            <w:tcW w:type="dxa" w:w="11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越高越好</w:t>
            </w:r>
          </w:p>
        </w:tc>
      </w:tr>
      <w:tr>
        <w:trPr>
          <w:cantSplit/>
        </w:trPr>
        <w:tc>
          <w:tcPr>
            <w:tcW w:type="dxa" w:w="20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错误“完全响应”率</w:t>
            </w:r>
          </w:p>
        </w:tc>
        <w:tc>
          <w:tcPr>
            <w:tcW w:type="dxa" w:w="48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实际不满足却判断有依据 / 全部有依据判断</w:t>
            </w:r>
          </w:p>
        </w:tc>
        <w:tc>
          <w:tcPr>
            <w:tcW w:type="dxa" w:w="11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11.8%</w:t>
            </w:r>
          </w:p>
        </w:tc>
        <w:tc>
          <w:tcPr>
            <w:tcW w:type="dxa" w:w="11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越低越好</w:t>
            </w:r>
          </w:p>
        </w:tc>
      </w:tr>
      <w:tr>
        <w:trPr>
          <w:cantSplit/>
        </w:trPr>
        <w:tc>
          <w:tcPr>
            <w:tcW w:type="dxa" w:w="20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可核查正确响应率</w:t>
            </w:r>
          </w:p>
        </w:tc>
        <w:tc>
          <w:tcPr>
            <w:tcW w:type="dxa" w:w="482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提取、状态、证据、生成均正确 / 全部标注</w:t>
            </w:r>
          </w:p>
        </w:tc>
        <w:tc>
          <w:tcPr>
            <w:tcW w:type="dxa" w:w="11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81.1%</w:t>
            </w:r>
          </w:p>
        </w:tc>
        <w:tc>
          <w:tcPr>
            <w:tcW w:type="dxa" w:w="11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越高越好</w:t>
            </w:r>
          </w:p>
        </w:tc>
      </w:tr>
    </w:tbl>
    <w:p>
      <w:pPr>
        <w:spacing w:after="40"/>
      </w:pPr>
    </w:p>
    <w:p>
      <w:pPr>
        <w:pStyle w:val="Heading2"/>
      </w:pPr>
      <w:r>
        <w:t>5.3 产品与业务指标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以下为下一阶段需要真实用户验证的目标，不作为当前项目已实现成果：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3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82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计算方式</w:t>
            </w:r>
          </w:p>
        </w:tc>
        <w:tc>
          <w:tcPr>
            <w:tcW w:type="dxa" w:w="252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验证目标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首轮条款整理时长</w:t>
            </w:r>
          </w:p>
        </w:tc>
        <w:tc>
          <w:tcPr>
            <w:tcW w:type="dxa" w:w="48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上传到完成首轮审核的时间</w:t>
            </w:r>
          </w:p>
        </w:tc>
        <w:tc>
          <w:tcPr>
            <w:tcW w:type="dxa" w:w="25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相比纯人工降低 50%</w:t>
            </w:r>
          </w:p>
        </w:tc>
      </w:tr>
      <w:tr>
        <w:trPr>
          <w:cantSplit/>
        </w:trPr>
        <w:tc>
          <w:tcPr>
            <w:tcW w:type="dxa" w:w="183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缺口闭环率</w:t>
            </w:r>
          </w:p>
        </w:tc>
        <w:tc>
          <w:tcPr>
            <w:tcW w:type="dxa" w:w="482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已补充并重新确认的缺口 / 全部缺口</w:t>
            </w:r>
          </w:p>
        </w:tc>
        <w:tc>
          <w:tcPr>
            <w:tcW w:type="dxa" w:w="252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≥80%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人工修改率</w:t>
            </w:r>
          </w:p>
        </w:tc>
        <w:tc>
          <w:tcPr>
            <w:tcW w:type="dxa" w:w="48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生成后发生实质修改的响应 / 全部响应</w:t>
            </w:r>
          </w:p>
        </w:tc>
        <w:tc>
          <w:tcPr>
            <w:tcW w:type="dxa" w:w="25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持续下降</w:t>
            </w:r>
          </w:p>
        </w:tc>
      </w:tr>
      <w:tr>
        <w:trPr>
          <w:cantSplit/>
        </w:trPr>
        <w:tc>
          <w:tcPr>
            <w:tcW w:type="dxa" w:w="183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任务完成率</w:t>
            </w:r>
          </w:p>
        </w:tc>
        <w:tc>
          <w:tcPr>
            <w:tcW w:type="dxa" w:w="482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成功导出可编辑标书的项目 / 创建项目</w:t>
            </w:r>
          </w:p>
        </w:tc>
        <w:tc>
          <w:tcPr>
            <w:tcW w:type="dxa" w:w="252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≥70%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单项目模型成本</w:t>
            </w:r>
          </w:p>
        </w:tc>
        <w:tc>
          <w:tcPr>
            <w:tcW w:type="dxa" w:w="48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项目全部模型调用费用之和</w:t>
            </w:r>
          </w:p>
        </w:tc>
        <w:tc>
          <w:tcPr>
            <w:tcW w:type="dxa" w:w="25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建立基线后按版本下降</w:t>
            </w:r>
          </w:p>
        </w:tc>
      </w:tr>
      <w:tr>
        <w:trPr>
          <w:cantSplit/>
        </w:trPr>
        <w:tc>
          <w:tcPr>
            <w:tcW w:type="dxa" w:w="183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用户采纳率</w:t>
            </w:r>
          </w:p>
        </w:tc>
        <w:tc>
          <w:tcPr>
            <w:tcW w:type="dxa" w:w="482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被保留的 AI 响应 / 全部 AI 响应</w:t>
            </w:r>
          </w:p>
        </w:tc>
        <w:tc>
          <w:tcPr>
            <w:tcW w:type="dxa" w:w="252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≥60%</w:t>
            </w:r>
          </w:p>
        </w:tc>
      </w:tr>
    </w:tbl>
    <w:p>
      <w:pPr>
        <w:spacing w:after="40"/>
      </w:pPr>
    </w:p>
    <w:p>
      <w:pPr>
        <w:pStyle w:val="Heading1"/>
      </w:pPr>
      <w:r>
        <w:t>6. 用户故事</w:t>
      </w:r>
    </w:p>
    <w:p>
      <w:pPr>
        <w:pStyle w:val="Heading2"/>
      </w:pPr>
      <w:r>
        <w:t>6.1 核心用户故事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作为投标专员，我希望上传招标文件后得到完整要求清单，以免遗漏关键条款。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作为售前经理，我希望每项判断都能查看招标原文和企业依据，以便快速复核。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作为投标专员，我希望系统明确标出材料不足，而不是生成看似完整的虚假响应。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作为材料负责人，我希望从缺口条款直接添加材料，并立即看到状态是否改变。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作为技术负责人，我希望服务时限和技术指标保持招标原文，避免模型擅自修改数字。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 xml:space="preserve">作为商务负责人，我希望无可靠报价时显示 </w:t>
      </w:r>
      <w:r>
        <w:rPr>
          <w:rFonts w:ascii="Consolas" w:hAnsi="Consolas" w:eastAsia="Consolas"/>
          <w:color w:val="3C3C3C"/>
          <w:sz w:val="20"/>
        </w:rPr>
        <w:t>【待补充】</w:t>
      </w:r>
      <w:r>
        <w:rPr>
          <w:rFonts w:ascii="Microsoft YaHei" w:hAnsi="Microsoft YaHei" w:eastAsia="Microsoft YaHei"/>
          <w:color w:val="232323"/>
          <w:sz w:val="21"/>
        </w:rPr>
        <w:t>，避免自动生成金额。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作为产品经理，我希望使用固定测试集比较版本效果，并查看 Bad Case、Token 和耗时。</w:t>
      </w:r>
    </w:p>
    <w:p>
      <w:pPr>
        <w:pStyle w:val="Heading2"/>
      </w:pPr>
      <w:r>
        <w:t>6.2 关键使用场景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1. 首次分析：用户上传新招标文件，系统提取要求并匹配现有企业材料。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2. 投标决策：负责人查看资格缺口和高风险承诺，判断是否继续参与。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3. 材料补充：用户在缺口条款中上传证书、案例或承诺文件，系统重新计算状态。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4. 初稿生成：系统依据当前证据生成九章标书正文、响应表、附件和缺口清单。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5. 人工复核：用户逐项确认、标记需处理内容并导出 Word。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6. 版本回归：产品经理运行固定评测集，比较准确率、错误案例及成本变化。</w:t>
      </w:r>
    </w:p>
    <w:p>
      <w:pPr>
        <w:pStyle w:val="Heading1"/>
      </w:pPr>
      <w:r>
        <w:t>7. 核心业务流程</w:t>
      </w:r>
    </w:p>
    <w:p>
      <w:pPr>
        <w:spacing w:before="80" w:after="160" w:line="312" w:lineRule="auto"/>
      </w:pPr>
      <w:r>
        <w:rPr>
          <w:rFonts w:ascii="Microsoft YaHei" w:hAnsi="Microsoft YaHei" w:eastAsia="Microsoft YaHei"/>
          <w:b/>
          <w:sz w:val="21"/>
        </w:rPr>
        <w:t>核心业务流程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上传与解析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提取并校验要求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检索企业材料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判断状态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补充材料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生成初稿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人工审核与导出</w:t>
            </w:r>
          </w:p>
        </w:tc>
      </w:tr>
    </w:tbl>
    <w:p>
      <w:pPr>
        <w:spacing w:after="40"/>
      </w:pPr>
    </w:p>
    <w:p>
      <w:pPr>
        <w:pStyle w:val="Heading1"/>
      </w:pPr>
      <w:r>
        <w:t>8. 功能需求</w:t>
      </w:r>
    </w:p>
    <w:p>
      <w:pPr>
        <w:pStyle w:val="Heading2"/>
      </w:pPr>
      <w:r>
        <w:t>8.1 项目管理与文件上传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需求说明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用户可填写项目名称、采购单位并上传招标文件。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支持 TXT、MD、文字型 PDF、DOCX，单文件最大 10 MB。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文件内容少于最低可解析字数时给出明确提示。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新项目创建完成后自动进入工作台。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验收标准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支持的文件能够提取正文并保存项目。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扫描 PDF 无文字时提示当前不支持 OCR。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上传失败不产生空项目。</w:t>
      </w:r>
    </w:p>
    <w:p>
      <w:pPr>
        <w:pStyle w:val="Heading2"/>
      </w:pPr>
      <w:r>
        <w:t>8.2 招标要求提取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模型模式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模型根据带行号文本返回要求原文、行号和类别。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输出必须为 JSON。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本地程序校验行号和引用是否真实存在；无法对应原文的结果直接丢弃。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长文本按约一万字符分块处理，避免超过上下文窗口。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离线模式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使用编号、约束词和章节标题提取要求。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模型不可用或超时时自动降级，并向用户展示降级原因。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要求字段</w:t>
      </w:r>
    </w:p>
    <w:p>
      <w:pPr>
        <w:spacing w:before="0" w:after="100" w:line="312" w:lineRule="auto"/>
      </w:pPr>
      <w:r>
        <w:rPr>
          <w:rFonts w:ascii="Consolas" w:hAnsi="Consolas" w:eastAsia="Consolas"/>
          <w:color w:val="3C3C3C"/>
          <w:sz w:val="20"/>
        </w:rPr>
        <w:t>编号、类别、要求正文、招标原文、行号、优先级、证据、状态、判断原因、人工审核状态</w:t>
      </w:r>
      <w:r>
        <w:rPr>
          <w:rFonts w:ascii="Microsoft YaHei" w:hAnsi="Microsoft YaHei" w:eastAsia="Microsoft YaHei"/>
          <w:color w:val="232323"/>
          <w:sz w:val="21"/>
        </w:rPr>
        <w:t>。</w:t>
      </w:r>
    </w:p>
    <w:p>
      <w:pPr>
        <w:pStyle w:val="Heading2"/>
      </w:pPr>
      <w:r>
        <w:t>8.3 企业材料库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支持粘贴正文或上传 TXT、MD、PDF、DOCX。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材料包含名称、类型、正文和有效期。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材料类型包括案例、资质、产品方案、模板和其他。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用户可查看材料完整原文。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系统识别误传的招标文件，不允许将招标要求作为企业证明材料。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当前材料存储在本机 JSON 文件；生产版本需迁移至加密对象存储和数据库。</w:t>
      </w:r>
    </w:p>
    <w:p>
      <w:pPr>
        <w:pStyle w:val="Heading2"/>
      </w:pPr>
      <w:r>
        <w:t>8.4 证据检索与状态判断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当前实现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使用中文二元/三元词项重叠进行轻量检索，返回 Top3 相关材料。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对案例数量、人员证书、响应时限、服务周期、实施计划等使用显式规则判断。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当前实现属于可解释检索基线，不宣称已经使用向量数据库或完整 RAG。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3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系统状态</w:t>
            </w:r>
          </w:p>
        </w:tc>
        <w:tc>
          <w:tcPr>
            <w:tcW w:type="dxa" w:w="64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3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标书状态</w:t>
            </w:r>
          </w:p>
        </w:tc>
      </w:tr>
      <w:tr>
        <w:trPr>
          <w:cantSplit/>
        </w:trPr>
        <w:tc>
          <w:tcPr>
            <w:tcW w:type="dxa" w:w="1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有依据</w:t>
            </w:r>
          </w:p>
        </w:tc>
        <w:tc>
          <w:tcPr>
            <w:tcW w:type="dxa" w:w="6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找到能够直接支持要求的企业材料</w:t>
            </w:r>
          </w:p>
        </w:tc>
        <w:tc>
          <w:tcPr>
            <w:tcW w:type="dxa" w:w="1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完全响应</w:t>
            </w:r>
          </w:p>
        </w:tc>
      </w:tr>
      <w:tr>
        <w:trPr>
          <w:cantSplit/>
        </w:trPr>
        <w:tc>
          <w:tcPr>
            <w:tcW w:type="dxa" w:w="1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待确认</w:t>
            </w:r>
          </w:p>
        </w:tc>
        <w:tc>
          <w:tcPr>
            <w:tcW w:type="dxa" w:w="64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有相关模板或相似材料，但不足以直接承诺</w:t>
            </w:r>
          </w:p>
        </w:tc>
        <w:tc>
          <w:tcPr>
            <w:tcW w:type="dxa" w:w="1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待确认</w:t>
            </w:r>
          </w:p>
        </w:tc>
      </w:tr>
      <w:tr>
        <w:trPr>
          <w:cantSplit/>
        </w:trPr>
        <w:tc>
          <w:tcPr>
            <w:tcW w:type="dxa" w:w="1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材料缺口</w:t>
            </w:r>
          </w:p>
        </w:tc>
        <w:tc>
          <w:tcPr>
            <w:tcW w:type="dxa" w:w="64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没有材料或材料明确不满足数量、证书、时限等条件</w:t>
            </w:r>
          </w:p>
        </w:tc>
        <w:tc>
          <w:tcPr>
            <w:tcW w:type="dxa" w:w="1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材料缺失</w:t>
            </w:r>
          </w:p>
        </w:tc>
      </w:tr>
      <w:tr>
        <w:trPr>
          <w:cantSplit/>
        </w:trPr>
        <w:tc>
          <w:tcPr>
            <w:tcW w:type="dxa" w:w="1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待跟进</w:t>
            </w:r>
          </w:p>
        </w:tc>
        <w:tc>
          <w:tcPr>
            <w:tcW w:type="dxa" w:w="640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截止时间、递交动作等需要负责人执行</w:t>
            </w:r>
          </w:p>
        </w:tc>
        <w:tc>
          <w:tcPr>
            <w:tcW w:type="dxa" w:w="139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待确认</w:t>
            </w:r>
          </w:p>
        </w:tc>
      </w:tr>
    </w:tbl>
    <w:p>
      <w:pPr>
        <w:spacing w:after="40"/>
      </w:pP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下一阶段方案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引入 Embedding 召回与 Rerank，提高同义表达和长文档检索效果。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将数量、日期、证书、金额、SLA 等抽取为结构化字段进行精确比较。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为证据保存文档页码、段落和版本，支持精确引用。</w:t>
      </w:r>
    </w:p>
    <w:p>
      <w:pPr>
        <w:pStyle w:val="Heading2"/>
      </w:pPr>
      <w:r>
        <w:t>8.5 材料缺口闭环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“材料缺口”和“待确认”条款显示“补充此条款材料”。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表单自动展示当前待证明要求，并提示只能上传投标企业材料。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保存后材料进入企业材料库，同时重新检索当前项目的全部要求。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重新匹配不再次调用大模型，不增加 Token。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状态或证据发生变化后，旧标书初稿失效。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材料仍不足时显示具体原因，不将“已上传”误认为“已满足”。</w:t>
      </w:r>
    </w:p>
    <w:p>
      <w:pPr>
        <w:pStyle w:val="Heading2"/>
      </w:pPr>
      <w:r>
        <w:t>8.6 标书生成 Agent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输入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项目名称与采购单位。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全部招标要求、原文和内部判断状态。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仅向模型提供“有依据”条款的企业证据；待确认和缺口条款不提供可用于承诺的证据。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输出结构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1. 项目概述。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2. 技术与服务方案。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3. 项目实施方案。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4. 项目团队。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5. 服务与质量保障。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6. 类似项目案例。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7. 招标要求响应表。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8. 商务响应。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9. 附件与证明材料。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10. 材料缺口清单。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生成约束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逐条覆盖所有已识别要求。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所有企业事实和承诺必须对应企业材料。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模型生成的数字必须存在于对应要求或证据中，否则拒绝该响应。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 xml:space="preserve">非“有依据”条款必须包含 </w:t>
      </w:r>
      <w:r>
        <w:rPr>
          <w:rFonts w:ascii="Consolas" w:hAnsi="Consolas" w:eastAsia="Consolas"/>
          <w:color w:val="3C3C3C"/>
          <w:sz w:val="20"/>
        </w:rPr>
        <w:t>【待补充】</w:t>
      </w:r>
      <w:r>
        <w:rPr>
          <w:rFonts w:ascii="Microsoft YaHei" w:hAnsi="Microsoft YaHei" w:eastAsia="Microsoft YaHei"/>
          <w:color w:val="232323"/>
          <w:sz w:val="21"/>
        </w:rPr>
        <w:t>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 xml:space="preserve">项目报价默认 </w:t>
      </w:r>
      <w:r>
        <w:rPr>
          <w:rFonts w:ascii="Consolas" w:hAnsi="Consolas" w:eastAsia="Consolas"/>
          <w:color w:val="3C3C3C"/>
          <w:sz w:val="20"/>
        </w:rPr>
        <w:t>【待补充】</w:t>
      </w:r>
      <w:r>
        <w:rPr>
          <w:rFonts w:ascii="Microsoft YaHei" w:hAnsi="Microsoft YaHei" w:eastAsia="Microsoft YaHei"/>
          <w:color w:val="232323"/>
          <w:sz w:val="21"/>
        </w:rPr>
        <w:t>，禁止生成金额。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响应表状态只能是“完全响应、待确认、材料缺失”。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模型失败时使用离线可追溯模板完成流程。</w:t>
      </w:r>
    </w:p>
    <w:p>
      <w:pPr>
        <w:pStyle w:val="Heading2"/>
      </w:pPr>
      <w:r>
        <w:t>8.7 人工审核与 Word 导出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每项要求支持“未审核、已复核、需处理”。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Word 包含封面、九章正文和材料缺口清单。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人员、实施计划、响应要求、附件和缺口使用表格表达。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导出文档明确标记为内部编辑初稿。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正式提交前必须人工核验资质原件、报价、签章、人员和服务承诺。</w:t>
      </w:r>
    </w:p>
    <w:p>
      <w:pPr>
        <w:pStyle w:val="Heading2"/>
      </w:pPr>
      <w:r>
        <w:t>8.8 效果评测与成本面板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固定评测集包含 8 份合成招标文件和 74 条人工标注要求。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每次运行重新计算指标、文件结果和全部 Bad Case。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固定评测使用离线基线，不调用模型，因此评测本身消耗 0 Token。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Token 面板记录实际模型调用的模型名、操作、输入 Token、输出 Token、总量和耗时。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新建项目、重新分析和生成标书只有实际调用模型时才记录 Token。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后续增加模型评测模式，在同一标注集上比较不同模型和 Prompt 版本。</w:t>
      </w:r>
    </w:p>
    <w:p>
      <w:pPr>
        <w:pStyle w:val="Heading1"/>
      </w:pPr>
      <w:r>
        <w:t>9. AI 与 Agent 方案</w:t>
      </w:r>
    </w:p>
    <w:p>
      <w:pPr>
        <w:pStyle w:val="Heading2"/>
      </w:pPr>
      <w:r>
        <w:t>9.1 Agent 工作流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BidPilot 不是单次问答工具，而是由多个确定步骤组成的任务型 Agent：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1. 文档读取工具：解析 TXT、PDF 和 DOCX。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2. 要求抽取：模型结构化输出或本地规则降级。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3. 引用校验：核对行号和原文，拒绝无法追溯的条款。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4. 证据检索：从企业材料库返回相关材料。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5. 状态判断：使用业务规则核验数量、时限、证书和模板完整度。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6. 缺口处理：接收新材料并重新执行检索与判断。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7. 标书生成：依据结构化 Prompt 生成正式章节和响应表。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8. 输出校验：限制新增数字、报价和无依据承诺。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9. 导出工具：生成可编辑 Word。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10. 评测工具：执行固定测试集并输出 Bad Case。</w:t>
      </w:r>
    </w:p>
    <w:p>
      <w:pPr>
        <w:pStyle w:val="Heading2"/>
      </w:pPr>
      <w:r>
        <w:t>9.2 模型选型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 xml:space="preserve">当前配置为 </w:t>
      </w:r>
      <w:r>
        <w:rPr>
          <w:rFonts w:ascii="Consolas" w:hAnsi="Consolas" w:eastAsia="Consolas"/>
          <w:color w:val="3C3C3C"/>
          <w:sz w:val="20"/>
        </w:rPr>
        <w:t>qwen3.5-plus-2026-04-20</w:t>
      </w:r>
      <w:r>
        <w:rPr>
          <w:rFonts w:ascii="Microsoft YaHei" w:hAnsi="Microsoft YaHei" w:eastAsia="Microsoft YaHei"/>
          <w:color w:val="232323"/>
          <w:sz w:val="21"/>
        </w:rPr>
        <w:t xml:space="preserve"> 固定快照，通过 OpenAI 兼容接口调用。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选型考虑：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中文招标文件理解和正式文本生成能力。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JSON 结构化输出能力。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长上下文和批量生成能力。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国内企业 API 可用性与成本。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固定快照有利于重复评测。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当前尚未完成与其他模型的统一 A/B 测试，因此不宣称该模型是最优方案。后续应在同一测试集上比较要求召回、事实支持率、延迟、Token 成本和稳定性。</w:t>
      </w:r>
    </w:p>
    <w:p>
      <w:pPr>
        <w:pStyle w:val="Heading2"/>
      </w:pPr>
      <w:r>
        <w:t>9.3 Prompt 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05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Prompt</w:t>
            </w:r>
          </w:p>
        </w:tc>
        <w:tc>
          <w:tcPr>
            <w:tcW w:type="dxa" w:w="511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1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要求抽取 V1</w:t>
            </w:r>
          </w:p>
        </w:tc>
        <w:tc>
          <w:tcPr>
            <w:tcW w:type="dxa" w:w="51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3C3C3C"/>
                <w:sz w:val="17"/>
              </w:rPr>
              <w:t>prompts/requirement_extraction_v1.txt</w:t>
            </w:r>
          </w:p>
        </w:tc>
        <w:tc>
          <w:tcPr>
            <w:tcW w:type="dxa" w:w="301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约束原文、行号、类别和 JSON 格式</w:t>
            </w:r>
          </w:p>
        </w:tc>
      </w:tr>
      <w:tr>
        <w:trPr>
          <w:cantSplit/>
        </w:trPr>
        <w:tc>
          <w:tcPr>
            <w:tcW w:type="dxa" w:w="1054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标书生成 V2</w:t>
            </w:r>
          </w:p>
        </w:tc>
        <w:tc>
          <w:tcPr>
            <w:tcW w:type="dxa" w:w="5119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3C3C3C"/>
                <w:sz w:val="17"/>
              </w:rPr>
              <w:t>prompts/bid_document_generation_v2.txt</w:t>
            </w:r>
          </w:p>
        </w:tc>
        <w:tc>
          <w:tcPr>
            <w:tcW w:type="dxa" w:w="3011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约束十部分文档结构、证据使用、报价和缺口</w:t>
            </w:r>
          </w:p>
        </w:tc>
      </w:tr>
    </w:tbl>
    <w:p>
      <w:pPr>
        <w:spacing w:after="40"/>
      </w:pP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Prompt 采用文件化版本管理，方便开展版本对比、回滚和面试展示。生产版本需进一步保存版本号、模型参数、评测结果和发布时间。</w:t>
      </w:r>
    </w:p>
    <w:p>
      <w:pPr>
        <w:pStyle w:val="Heading2"/>
      </w:pPr>
      <w:r>
        <w:t>9.4 Human-in-the-loop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AI 负责整理、匹配和生成建议。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业务人员确认企业是否具备能力及是否愿意承诺。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商务负责人填写报价并审核合同条款。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法务或合规人员核验资质、签章和提交要求。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系统保留待补充项，不将不确定性隐藏在流畅文本中。</w:t>
      </w:r>
    </w:p>
    <w:p>
      <w:pPr>
        <w:pStyle w:val="Heading1"/>
      </w:pPr>
      <w:r>
        <w:t>10. 数据闭环与迭代机制</w:t>
      </w:r>
    </w:p>
    <w:p>
      <w:pPr>
        <w:pStyle w:val="Heading2"/>
      </w:pPr>
      <w:r>
        <w:t>10.1 数据来源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招标文件及其结构化要求。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企业材料及其类型、版本和有效期。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人工审核状态和修改记录。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模型调用日志、Token 与耗时。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固定标注集、错误类型和 Bad Case。</w:t>
      </w:r>
    </w:p>
    <w:p>
      <w:pPr>
        <w:pStyle w:val="Heading2"/>
      </w:pPr>
      <w:r>
        <w:t>10.2 迭代闭环</w:t>
      </w:r>
    </w:p>
    <w:p>
      <w:pPr>
        <w:spacing w:before="80" w:after="160" w:line="312" w:lineRule="auto"/>
      </w:pPr>
      <w:r>
        <w:rPr>
          <w:rFonts w:ascii="Microsoft YaHei" w:hAnsi="Microsoft YaHei" w:eastAsia="Microsoft YaHei"/>
          <w:b/>
          <w:sz w:val="21"/>
        </w:rPr>
        <w:t>效果迭代闭环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收集样本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人工标注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固定评测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分析 Bad Case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优化规则与 Prompt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回归测试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464646"/>
                <w:sz w:val="22"/>
              </w:rPr>
              <w:t>→</w:t>
            </w:r>
          </w:p>
        </w:tc>
        <w:tc>
          <w:tcPr>
            <w:tcW w:type="dxa" w:w="720"/>
            <w:shd w:fill="D9EAF7"/>
            <w:tcBorders>
              <w:top w:val="single" w:sz="6" w:color="A8C5DA"/>
              <w:left w:val="single" w:sz="6" w:color="A8C5DA"/>
              <w:bottom w:val="single" w:sz="6" w:color="A8C5DA"/>
              <w:right w:val="single" w:sz="6" w:color="A8C5DA"/>
              <w:insideH w:val="single" w:sz="6" w:color="A8C5DA"/>
              <w:insideV w:val="single" w:sz="6" w:color="A8C5DA"/>
            </w:tcBorders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6"/>
              </w:rPr>
              <w:t>发布版本</w:t>
            </w:r>
          </w:p>
        </w:tc>
      </w:tr>
    </w:tbl>
    <w:p>
      <w:pPr>
        <w:spacing w:after="40"/>
      </w:pPr>
    </w:p>
    <w:p>
      <w:pPr>
        <w:pStyle w:val="Heading2"/>
      </w:pPr>
      <w:r>
        <w:t>10.3 Bad Case 分类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要求遗漏。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额外提取。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状态判断错误。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错误判断为有依据。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首要证据不符。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草稿保护失效。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模型输出格式异常。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模型新增无依据数字或承诺。</w:t>
      </w:r>
    </w:p>
    <w:p>
      <w:pPr>
        <w:pStyle w:val="Heading1"/>
      </w:pPr>
      <w:r>
        <w:t>11. 竞品与替代方案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6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11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19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局限</w:t>
            </w:r>
          </w:p>
        </w:tc>
        <w:tc>
          <w:tcPr>
            <w:tcW w:type="dxa" w:w="375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BidPilot 差异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Word + Excel 人工作业</w:t>
            </w:r>
          </w:p>
        </w:tc>
        <w:tc>
          <w:tcPr>
            <w:tcW w:type="dxa" w:w="11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灵活、人员熟悉</w:t>
            </w:r>
          </w:p>
        </w:tc>
        <w:tc>
          <w:tcPr>
            <w:tcW w:type="dxa" w:w="1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重复劳动多、难追溯、易遗漏</w:t>
            </w:r>
          </w:p>
        </w:tc>
        <w:tc>
          <w:tcPr>
            <w:tcW w:type="dxa" w:w="3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自动提取、统一状态和缺口闭环</w:t>
            </w:r>
          </w:p>
        </w:tc>
      </w:tr>
      <w:tr>
        <w:trPr>
          <w:cantSplit/>
        </w:trPr>
        <w:tc>
          <w:tcPr>
            <w:tcW w:type="dxa" w:w="23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通用大模型对话</w:t>
            </w:r>
          </w:p>
        </w:tc>
        <w:tc>
          <w:tcPr>
            <w:tcW w:type="dxa" w:w="1113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生成快、语言自然</w:t>
            </w:r>
          </w:p>
        </w:tc>
        <w:tc>
          <w:tcPr>
            <w:tcW w:type="dxa" w:w="19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企业事实不可控、引用不稳定</w:t>
            </w:r>
          </w:p>
        </w:tc>
        <w:tc>
          <w:tcPr>
            <w:tcW w:type="dxa" w:w="375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证据约束、状态判断、本地校验</w:t>
            </w:r>
          </w:p>
        </w:tc>
      </w:tr>
      <w:tr>
        <w:trPr>
          <w:cantSplit/>
        </w:trPr>
        <w:tc>
          <w:tcPr>
            <w:tcW w:type="dxa" w:w="23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企业知识库问答</w:t>
            </w:r>
          </w:p>
        </w:tc>
        <w:tc>
          <w:tcPr>
            <w:tcW w:type="dxa" w:w="111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材料检索能力强</w:t>
            </w:r>
          </w:p>
        </w:tc>
        <w:tc>
          <w:tcPr>
            <w:tcW w:type="dxa" w:w="19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不一定覆盖投标流程和正式输出</w:t>
            </w:r>
          </w:p>
        </w:tc>
        <w:tc>
          <w:tcPr>
            <w:tcW w:type="dxa" w:w="3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面向招标要求逐条响应并导出 Word</w:t>
            </w:r>
          </w:p>
        </w:tc>
      </w:tr>
      <w:tr>
        <w:trPr>
          <w:cantSplit/>
        </w:trPr>
        <w:tc>
          <w:tcPr>
            <w:tcW w:type="dxa" w:w="23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传统标书 SaaS</w:t>
            </w:r>
          </w:p>
        </w:tc>
        <w:tc>
          <w:tcPr>
            <w:tcW w:type="dxa" w:w="1113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模板和协作成熟</w:t>
            </w:r>
          </w:p>
        </w:tc>
        <w:tc>
          <w:tcPr>
            <w:tcW w:type="dxa" w:w="194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AI 生成与效果评测能力不一</w:t>
            </w:r>
          </w:p>
        </w:tc>
        <w:tc>
          <w:tcPr>
            <w:tcW w:type="dxa" w:w="375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强调 Agent 工作流、评测和 Token 可观测性</w:t>
            </w:r>
          </w:p>
        </w:tc>
      </w:tr>
    </w:tbl>
    <w:p>
      <w:pPr>
        <w:spacing w:after="40"/>
      </w:pPr>
    </w:p>
    <w:p>
      <w:pPr>
        <w:pStyle w:val="Heading1"/>
      </w:pPr>
      <w:r>
        <w:t>12. 权限、安全与合规</w:t>
      </w:r>
    </w:p>
    <w:p>
      <w:pPr>
        <w:pStyle w:val="Heading2"/>
      </w:pPr>
      <w:r>
        <w:t>12.1 当前版本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数据默认保存在本机。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 xml:space="preserve">API Key 从 </w:t>
      </w:r>
      <w:r>
        <w:rPr>
          <w:rFonts w:ascii="Consolas" w:hAnsi="Consolas" w:eastAsia="Consolas"/>
          <w:color w:val="3C3C3C"/>
          <w:sz w:val="20"/>
        </w:rPr>
        <w:t>.env</w:t>
      </w:r>
      <w:r>
        <w:rPr>
          <w:rFonts w:ascii="Microsoft YaHei" w:hAnsi="Microsoft YaHei" w:eastAsia="Microsoft YaHei"/>
          <w:color w:val="232323"/>
          <w:sz w:val="21"/>
        </w:rPr>
        <w:t xml:space="preserve"> 读取，不写入代码和前端。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Token 日志不保存 Prompt、回复正文和密钥。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系统拒绝将招标文件误用为企业证明材料。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页面和导出文档明确提示人工核验。</w:t>
      </w:r>
    </w:p>
    <w:p>
      <w:pPr>
        <w:pStyle w:val="Heading2"/>
      </w:pPr>
      <w:r>
        <w:t>12.2 生产化要求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按企业和项目进行租户隔离。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使用角色权限控制材料查看、标书生成、报价编辑和最终导出。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文件传输与存储加密，敏感字段脱敏。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建立材料版本、有效期、访问日志和操作审计。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明确模型服务商的数据保留与训练政策。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提供私有化部署或企业专属模型接口选项。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对正式提交、报价和签章设置人工审批节点。</w:t>
      </w:r>
    </w:p>
    <w:p>
      <w:pPr>
        <w:pStyle w:val="Heading1"/>
      </w:pPr>
      <w:r>
        <w:t>13. 异常与降级策略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0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516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产品处理</w:t>
            </w:r>
          </w:p>
        </w:tc>
      </w:tr>
      <w:tr>
        <w:trPr>
          <w:cantSplit/>
        </w:trPr>
        <w:tc>
          <w:tcPr>
            <w:tcW w:type="dxa" w:w="40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未配置 API Key</w:t>
            </w:r>
          </w:p>
        </w:tc>
        <w:tc>
          <w:tcPr>
            <w:tcW w:type="dxa" w:w="5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使用离线规则和模板，完整流程仍可演示</w:t>
            </w:r>
          </w:p>
        </w:tc>
      </w:tr>
      <w:tr>
        <w:trPr>
          <w:cantSplit/>
        </w:trPr>
        <w:tc>
          <w:tcPr>
            <w:tcW w:type="dxa" w:w="401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模型超时或接口失败</w:t>
            </w:r>
          </w:p>
        </w:tc>
        <w:tc>
          <w:tcPr>
            <w:tcW w:type="dxa" w:w="51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显示失败原因并自动回退到离线分析</w:t>
            </w:r>
          </w:p>
        </w:tc>
      </w:tr>
      <w:tr>
        <w:trPr>
          <w:cantSplit/>
        </w:trPr>
        <w:tc>
          <w:tcPr>
            <w:tcW w:type="dxa" w:w="40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模型 JSON 无法解析</w:t>
            </w:r>
          </w:p>
        </w:tc>
        <w:tc>
          <w:tcPr>
            <w:tcW w:type="dxa" w:w="5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丢弃异常输出，使用可追溯模板</w:t>
            </w:r>
          </w:p>
        </w:tc>
      </w:tr>
      <w:tr>
        <w:trPr>
          <w:cantSplit/>
        </w:trPr>
        <w:tc>
          <w:tcPr>
            <w:tcW w:type="dxa" w:w="401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模型条款无法对应原文</w:t>
            </w:r>
          </w:p>
        </w:tc>
        <w:tc>
          <w:tcPr>
            <w:tcW w:type="dxa" w:w="51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丢弃该条款</w:t>
            </w:r>
          </w:p>
        </w:tc>
      </w:tr>
      <w:tr>
        <w:trPr>
          <w:cantSplit/>
        </w:trPr>
        <w:tc>
          <w:tcPr>
            <w:tcW w:type="dxa" w:w="40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模型新增未知数字</w:t>
            </w:r>
          </w:p>
        </w:tc>
        <w:tc>
          <w:tcPr>
            <w:tcW w:type="dxa" w:w="5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拒绝该段内容并使用安全模板</w:t>
            </w:r>
          </w:p>
        </w:tc>
      </w:tr>
      <w:tr>
        <w:trPr>
          <w:cantSplit/>
        </w:trPr>
        <w:tc>
          <w:tcPr>
            <w:tcW w:type="dxa" w:w="401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上传扫描 PDF</w:t>
            </w:r>
          </w:p>
        </w:tc>
        <w:tc>
          <w:tcPr>
            <w:tcW w:type="dxa" w:w="51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提示当前不支持 OCR</w:t>
            </w:r>
          </w:p>
        </w:tc>
      </w:tr>
      <w:tr>
        <w:trPr>
          <w:cantSplit/>
        </w:trPr>
        <w:tc>
          <w:tcPr>
            <w:tcW w:type="dxa" w:w="40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材料与要求无关</w:t>
            </w:r>
          </w:p>
        </w:tc>
        <w:tc>
          <w:tcPr>
            <w:tcW w:type="dxa" w:w="5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保持材料缺口并显示原因</w:t>
            </w:r>
          </w:p>
        </w:tc>
      </w:tr>
      <w:tr>
        <w:trPr>
          <w:cantSplit/>
        </w:trPr>
        <w:tc>
          <w:tcPr>
            <w:tcW w:type="dxa" w:w="4018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用户上传招标文件作为企业材料</w:t>
            </w:r>
          </w:p>
        </w:tc>
        <w:tc>
          <w:tcPr>
            <w:tcW w:type="dxa" w:w="516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阻止保存并提示上传企业证明材料</w:t>
            </w:r>
          </w:p>
        </w:tc>
      </w:tr>
      <w:tr>
        <w:trPr>
          <w:cantSplit/>
        </w:trPr>
        <w:tc>
          <w:tcPr>
            <w:tcW w:type="dxa" w:w="401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报价材料不存在</w:t>
            </w:r>
          </w:p>
        </w:tc>
        <w:tc>
          <w:tcPr>
            <w:tcW w:type="dxa" w:w="5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 xml:space="preserve">项目报价固定显示 </w:t>
            </w:r>
            <w:r>
              <w:rPr>
                <w:rFonts w:ascii="Consolas" w:hAnsi="Consolas" w:eastAsia="Consolas"/>
                <w:color w:val="3C3C3C"/>
                <w:sz w:val="17"/>
              </w:rPr>
              <w:t>【待补充】</w:t>
            </w:r>
          </w:p>
        </w:tc>
      </w:tr>
    </w:tbl>
    <w:p>
      <w:pPr>
        <w:spacing w:after="40"/>
      </w:pPr>
    </w:p>
    <w:p>
      <w:pPr>
        <w:pStyle w:val="Heading1"/>
      </w:pPr>
      <w:r>
        <w:t>14. 非功能需求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可用性：无模型密钥时可完成主流程。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可解释性：要求保留原文、行号、判断理由和主要证据。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性能：离线分析应在秒级完成；模型操作展示持续加载状态并允许 1—2 分钟响应时间。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稳定性：模型失败不导致项目丢失。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可测试性：核心提取、检索、判断、生成和防编造规则具有自动化测试。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可维护性：Prompt 与代码分离并使用版本文件。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可观测性：记录模型、操作、Token 和耗时，不记录敏感正文。</w:t>
      </w:r>
    </w:p>
    <w:p>
      <w:pPr>
        <w:pStyle w:val="Heading1"/>
      </w:pPr>
      <w:r>
        <w:t>15. 版本范围与路线图</w:t>
      </w:r>
    </w:p>
    <w:p>
      <w:pPr>
        <w:pStyle w:val="Heading2"/>
      </w:pPr>
      <w:r>
        <w:t>V1.0：作品集可运行版本（已实现）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招标文件上传与解析。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模型/规则条款提取及原文校验。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企业材料库、全文查看和材料补充。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轻量检索、状态判断和缺口闭环。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十部分标书初稿及 Word 导出。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人工审核状态。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8 份文件、74 条标注要求的离线评测。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Token 与耗时统计。</w:t>
      </w:r>
    </w:p>
    <w:p>
      <w:pPr>
        <w:pStyle w:val="Heading2"/>
      </w:pPr>
      <w:r>
        <w:t>V1.1：效果提升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Embedding 召回与 Rerank。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数量、日期、金额、证书和 SLA 字段级核验。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PDF 页码和证据片段定位。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Prompt 版本 A/B 测试。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用户修改记录与 AI 采纳率统计。</w:t>
      </w:r>
    </w:p>
    <w:p>
      <w:pPr>
        <w:pStyle w:val="Heading2"/>
      </w:pPr>
      <w:r>
        <w:t>V2.0：企业协作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账号、角色、权限和审批流。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企业材料版本与有效期提醒。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项目多人协作、评论和审计日志。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报价模块、模板管理和正式版式配置。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私有化部署与企业知识库连接。</w:t>
      </w:r>
    </w:p>
    <w:p>
      <w:pPr>
        <w:pStyle w:val="Heading1"/>
      </w:pPr>
      <w:r>
        <w:t>16. 上线验收标准</w:t>
      </w:r>
    </w:p>
    <w:p>
      <w:pPr>
        <w:pStyle w:val="Heading2"/>
      </w:pPr>
      <w:r>
        <w:t>16.1 功能验收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上传支持格式后能够创建项目并展示要求。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每条要求能够回看原文和行号。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材料缺失时不能输出完全响应。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补充有效材料后状态能够重新计算。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补充材料不会额外调用模型。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标书覆盖十部分结构并包含全部要求。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 xml:space="preserve">报价无材料时必须显示 </w:t>
      </w:r>
      <w:r>
        <w:rPr>
          <w:rFonts w:ascii="Consolas" w:hAnsi="Consolas" w:eastAsia="Consolas"/>
          <w:color w:val="3C3C3C"/>
          <w:sz w:val="20"/>
        </w:rPr>
        <w:t>【待补充】</w:t>
      </w:r>
      <w:r>
        <w:rPr>
          <w:rFonts w:ascii="Microsoft YaHei" w:hAnsi="Microsoft YaHei" w:eastAsia="Microsoft YaHei"/>
          <w:color w:val="232323"/>
          <w:sz w:val="21"/>
        </w:rPr>
        <w:t>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Word 能正常打开并包含结构化表格。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模型调用能够记录 Token 与耗时。</w:t>
      </w:r>
    </w:p>
    <w:p>
      <w:pPr>
        <w:pStyle w:val="Heading2"/>
      </w:pPr>
      <w:r>
        <w:t>16.2 质量门槛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自动化测试全部通过。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固定评测集不出现指标无解释下降。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新版本不得提高错误“完全响应”率。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模型失败、缺少密钥和格式错误时均能降级。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日志不包含 API Key、完整 Prompt 或企业文件正文。</w:t>
      </w:r>
    </w:p>
    <w:p>
      <w:pPr>
        <w:pStyle w:val="Heading1"/>
      </w:pPr>
      <w:r>
        <w:t>17. ROI 测算框架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当前没有真实企业工时数据，因此只提供计算方法，不虚构商业收益。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单项目人工成本</w:t>
      </w:r>
      <w:r>
        <w:rPr>
          <w:rFonts w:ascii="Microsoft YaHei" w:hAnsi="Microsoft YaHei" w:eastAsia="Microsoft YaHei"/>
          <w:color w:val="232323"/>
          <w:sz w:val="21"/>
        </w:rPr>
        <w:t>：人工投入小时 × 对应岗位小时成本。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单项目 AI 成本</w:t>
      </w:r>
      <w:r>
        <w:rPr>
          <w:rFonts w:ascii="Microsoft YaHei" w:hAnsi="Microsoft YaHei" w:eastAsia="Microsoft YaHei"/>
          <w:color w:val="232323"/>
          <w:sz w:val="21"/>
        </w:rPr>
        <w:t>：输入 Token 费用 + 输出 Token 费用 + 文档处理基础设施成本。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单项目节省价值</w:t>
      </w:r>
      <w:r>
        <w:rPr>
          <w:rFonts w:ascii="Microsoft YaHei" w:hAnsi="Microsoft YaHei" w:eastAsia="Microsoft YaHei"/>
          <w:color w:val="232323"/>
          <w:sz w:val="21"/>
        </w:rPr>
        <w:t>：传统人工成本 − 使用产品后的人工成本 − AI 成本。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b/>
          <w:color w:val="232323"/>
          <w:sz w:val="21"/>
        </w:rPr>
        <w:t>投资回报率</w:t>
      </w:r>
      <w:r>
        <w:rPr>
          <w:rFonts w:ascii="Microsoft YaHei" w:hAnsi="Microsoft YaHei" w:eastAsia="Microsoft YaHei"/>
          <w:color w:val="232323"/>
          <w:sz w:val="21"/>
        </w:rPr>
        <w:t>：累计节省价值 ÷ 产品研发及运营投入。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下一阶段应通过 5—10 名售前或投标人员的任务实验，记录纯人工与使用 BidPilot 的完成时间、遗漏率、修改率和主观满意度。</w:t>
      </w:r>
    </w:p>
    <w:p>
      <w:pPr>
        <w:pStyle w:val="Heading1"/>
      </w:pPr>
      <w:r>
        <w:t>18. 与中国 AI 产品经理实习 JD 的能力映射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0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招聘高频能力</w:t>
            </w:r>
          </w:p>
        </w:tc>
        <w:tc>
          <w:tcPr>
            <w:tcW w:type="dxa" w:w="42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项目体现</w:t>
            </w:r>
          </w:p>
        </w:tc>
        <w:tc>
          <w:tcPr>
            <w:tcW w:type="dxa" w:w="316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可展示证据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用户与业务场景理解</w:t>
            </w:r>
          </w:p>
        </w:tc>
        <w:tc>
          <w:tcPr>
            <w:tcW w:type="dxa" w:w="4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拆解投标专员、售前、商务、交付和管理者的不同目标</w:t>
            </w:r>
          </w:p>
        </w:tc>
        <w:tc>
          <w:tcPr>
            <w:tcW w:type="dxa" w:w="31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本 PRD 第 2—6 章</w:t>
            </w:r>
          </w:p>
        </w:tc>
      </w:tr>
      <w:tr>
        <w:trPr>
          <w:cantSplit/>
        </w:trPr>
        <w:tc>
          <w:tcPr>
            <w:tcW w:type="dxa" w:w="180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PRD、流程和原型</w:t>
            </w:r>
          </w:p>
        </w:tc>
        <w:tc>
          <w:tcPr>
            <w:tcW w:type="dxa" w:w="421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完整需求、Mermaid 流程、网页工作台</w:t>
            </w:r>
          </w:p>
        </w:tc>
        <w:tc>
          <w:tcPr>
            <w:tcW w:type="dxa" w:w="316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PRD 与可运行 Web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Agent/LLM 基础</w:t>
            </w:r>
          </w:p>
        </w:tc>
        <w:tc>
          <w:tcPr>
            <w:tcW w:type="dxa" w:w="4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多步骤 Agent、结构化输出、工具流程、降级策略</w:t>
            </w:r>
          </w:p>
        </w:tc>
        <w:tc>
          <w:tcPr>
            <w:tcW w:type="dxa" w:w="31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color w:val="3C3C3C"/>
                <w:sz w:val="17"/>
              </w:rPr>
              <w:t>engine.py</w:t>
            </w:r>
            <w:r>
              <w:rPr>
                <w:rFonts w:ascii="Microsoft YaHei" w:hAnsi="Microsoft YaHei" w:eastAsia="Microsoft YaHei"/>
                <w:color w:val="232323"/>
                <w:sz w:val="17"/>
              </w:rPr>
              <w:t xml:space="preserve"> 与 Prompt 文件</w:t>
            </w:r>
          </w:p>
        </w:tc>
      </w:tr>
      <w:tr>
        <w:trPr>
          <w:cantSplit/>
        </w:trPr>
        <w:tc>
          <w:tcPr>
            <w:tcW w:type="dxa" w:w="180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RAG/知识库理解</w:t>
            </w:r>
          </w:p>
        </w:tc>
        <w:tc>
          <w:tcPr>
            <w:tcW w:type="dxa" w:w="421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企业材料检索、证据引用、下一阶段向量召回规划</w:t>
            </w:r>
          </w:p>
        </w:tc>
        <w:tc>
          <w:tcPr>
            <w:tcW w:type="dxa" w:w="316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材料库与证据链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Prompt 工程</w:t>
            </w:r>
          </w:p>
        </w:tc>
        <w:tc>
          <w:tcPr>
            <w:tcW w:type="dxa" w:w="4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抽取 Prompt 和标书生成 Prompt 文件化管理</w:t>
            </w:r>
          </w:p>
        </w:tc>
        <w:tc>
          <w:tcPr>
            <w:tcW w:type="dxa" w:w="31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color w:val="3C3C3C"/>
                <w:sz w:val="17"/>
              </w:rPr>
              <w:t>prompts/</w:t>
            </w:r>
            <w:r>
              <w:rPr>
                <w:rFonts w:ascii="Microsoft YaHei" w:hAnsi="Microsoft YaHei" w:eastAsia="Microsoft YaHei"/>
                <w:color w:val="232323"/>
                <w:sz w:val="17"/>
              </w:rPr>
              <w:t xml:space="preserve"> 目录</w:t>
            </w:r>
          </w:p>
        </w:tc>
      </w:tr>
      <w:tr>
        <w:trPr>
          <w:cantSplit/>
        </w:trPr>
        <w:tc>
          <w:tcPr>
            <w:tcW w:type="dxa" w:w="180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效果评测</w:t>
            </w:r>
          </w:p>
        </w:tc>
        <w:tc>
          <w:tcPr>
            <w:tcW w:type="dxa" w:w="421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测试集、召回率、状态准确率、Bad Case</w:t>
            </w:r>
          </w:p>
        </w:tc>
        <w:tc>
          <w:tcPr>
            <w:tcW w:type="dxa" w:w="316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效果评测页面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数据分析与指标</w:t>
            </w:r>
          </w:p>
        </w:tc>
        <w:tc>
          <w:tcPr>
            <w:tcW w:type="dxa" w:w="4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北极星指标、质量指标、产品指标、ROI 框架</w:t>
            </w:r>
          </w:p>
        </w:tc>
        <w:tc>
          <w:tcPr>
            <w:tcW w:type="dxa" w:w="31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PRD 第 5、17 章</w:t>
            </w:r>
          </w:p>
        </w:tc>
      </w:tr>
      <w:tr>
        <w:trPr>
          <w:cantSplit/>
        </w:trPr>
        <w:tc>
          <w:tcPr>
            <w:tcW w:type="dxa" w:w="180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成本意识</w:t>
            </w:r>
          </w:p>
        </w:tc>
        <w:tc>
          <w:tcPr>
            <w:tcW w:type="dxa" w:w="421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Token、耗时和单项目成本框架</w:t>
            </w:r>
          </w:p>
        </w:tc>
        <w:tc>
          <w:tcPr>
            <w:tcW w:type="dxa" w:w="316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Token 面板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安全与合规</w:t>
            </w:r>
          </w:p>
        </w:tc>
        <w:tc>
          <w:tcPr>
            <w:tcW w:type="dxa" w:w="4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本地存储、密钥隔离、人工审批、生产化权限规划</w:t>
            </w:r>
          </w:p>
        </w:tc>
        <w:tc>
          <w:tcPr>
            <w:tcW w:type="dxa" w:w="31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PRD 第 12 章</w:t>
            </w:r>
          </w:p>
        </w:tc>
      </w:tr>
      <w:tr>
        <w:trPr>
          <w:cantSplit/>
        </w:trPr>
        <w:tc>
          <w:tcPr>
            <w:tcW w:type="dxa" w:w="1807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工程落地</w:t>
            </w:r>
          </w:p>
        </w:tc>
        <w:tc>
          <w:tcPr>
            <w:tcW w:type="dxa" w:w="4216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API、文件解析、Word 导出、错误降级、自动化测试</w:t>
            </w:r>
          </w:p>
        </w:tc>
        <w:tc>
          <w:tcPr>
            <w:tcW w:type="dxa" w:w="3162"/>
            <w:shd w:fill="EAF2F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可运行项目与测试结果</w:t>
            </w:r>
          </w:p>
        </w:tc>
      </w:tr>
      <w:tr>
        <w:trPr>
          <w:cantSplit/>
        </w:trPr>
        <w:tc>
          <w:tcPr>
            <w:tcW w:type="dxa" w:w="18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迭代闭环</w:t>
            </w:r>
          </w:p>
        </w:tc>
        <w:tc>
          <w:tcPr>
            <w:tcW w:type="dxa" w:w="42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标注—评测—Bad Case—优化—回归</w:t>
            </w:r>
          </w:p>
        </w:tc>
        <w:tc>
          <w:tcPr>
            <w:tcW w:type="dxa" w:w="31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232323"/>
                <w:sz w:val="17"/>
              </w:rPr>
              <w:t>PRD 第 10 章</w:t>
            </w:r>
          </w:p>
        </w:tc>
      </w:tr>
    </w:tbl>
    <w:p>
      <w:pPr>
        <w:spacing w:after="40"/>
      </w:pPr>
    </w:p>
    <w:p>
      <w:pPr>
        <w:pStyle w:val="Heading1"/>
      </w:pPr>
      <w:r>
        <w:t>19. 面试讲解建议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建议按照“业务问题—产品方案—AI 边界—数据验证—下一步”的顺序讲解：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1. 投标场景的核心风险不是写得慢，而是遗漏要求和作出无依据承诺。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2. 因此产品采用“要求—证据—响应”链路，并把缺口显式展示。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3. 模型负责理解和语言生成，本地规则负责确定性核验，关键节点由人工确认。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4. 通过固定测试集衡量召回、证据、状态和端到端正确率，并分析 Bad Case。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5. 目前规则基线仍存在复合条件误判，下一步用字段级核验、向量检索和真实授权样本提升效果。</w:t>
      </w:r>
    </w:p>
    <w:p>
      <w:pPr>
        <w:pStyle w:val="Heading1"/>
      </w:pPr>
      <w:r>
        <w:t>20. 招聘要求调研依据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本 PRD 对齐的岗位能力来自 2026 年 9 月检索到的中国 AI 产品岗位样本：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1. 百度 AI 产品实习生：业务场景需求定义、精标数据规则、Prompt 迭代、大模型效果评测、业务理解与数据分析。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https://talent.baidu.com/jobs/detail/INTERN/55ec188b-2518-4b89-b21c-faf4ecf6fa25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2. 贝壳 AI 效果评测产品实习：Agent/RAG 指标体系、测试集、人工与自动化评测、Bad Case 和策略闭环。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https://www.nowcoder.com/jobs/detail/463488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3. 阿里巴巴 AI Agent 产品经理实习：企业效率场景、全生命周期、数据评估、安全合规、Prompt/AIGC 实践和 SQL/Python。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https://www.nowcoder.com/jobs/detail/439437</w:t>
      </w:r>
    </w:p>
    <w:p>
      <w:pPr>
        <w:spacing w:before="0" w:after="60" w:line="312" w:lineRule="auto"/>
        <w:ind w:left="420" w:hanging="312"/>
      </w:pPr>
      <w:r>
        <w:rPr>
          <w:rFonts w:ascii="Microsoft YaHei" w:hAnsi="Microsoft YaHei" w:eastAsia="Microsoft YaHei"/>
          <w:color w:val="232323"/>
          <w:sz w:val="21"/>
        </w:rPr>
        <w:t>4. 2026 校园招聘 AI 产品岗位样本：用户与行业洞察、PRD、产品全流程、Agent/RAG、数据驱动验证。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https://career.cuhk.edu.cn/attachment/careercuhk/ueditor/file/20260515/2071_%E7%86%B5%E5%9F%BA%E5%BE%8B%E5%8A%A8%20-%202026%E6%A0%A1%E5%9B%AD%E6%8B%9B%E8%81%98.pdf</w:t>
      </w:r>
    </w:p>
    <w:p>
      <w:pPr>
        <w:pStyle w:val="Heading1"/>
      </w:pPr>
      <w:r>
        <w:t>附录 A：当前已验证结果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自动化测试：12 项通过。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固定评测集：8 份招标文件、74 条人工标注要求。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要求召回率：93.2%。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状态准确率：92.8%。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首要证据准确率：94.2%。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可核查正确响应率：81.1%。</w:t>
      </w:r>
    </w:p>
    <w:p>
      <w:pPr>
        <w:pStyle w:val="ListBullet"/>
        <w:spacing w:before="0" w:after="60" w:line="312" w:lineRule="auto"/>
      </w:pPr>
      <w:r>
        <w:rPr>
          <w:rFonts w:ascii="Microsoft YaHei" w:hAnsi="Microsoft YaHei" w:eastAsia="Microsoft YaHei"/>
          <w:color w:val="232323"/>
          <w:sz w:val="21"/>
        </w:rPr>
        <w:t>离线生成 Word：10 个正式章节、6 张表，可正常解析和编辑。</w:t>
      </w:r>
    </w:p>
    <w:p>
      <w:pPr>
        <w:spacing w:before="0" w:after="100" w:line="312" w:lineRule="auto"/>
      </w:pPr>
      <w:r>
        <w:rPr>
          <w:rFonts w:ascii="Microsoft YaHei" w:hAnsi="Microsoft YaHei" w:eastAsia="Microsoft YaHei"/>
          <w:color w:val="232323"/>
          <w:sz w:val="21"/>
        </w:rPr>
        <w:t>以上数据均来自合成测试集和本地验证，不应描述为真实客户业务成果。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077" w:left="127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5F5F"/>
        <w:sz w:val="18"/>
      </w:rPr>
      <w:t xml:space="preserve">第 </w:t>
    </w:r>
    <w:r>
      <w:rPr>
        <w:rFonts w:ascii="Microsoft YaHei" w:hAnsi="Microsoft YaHei" w:eastAsia="Microsoft YaHei"/>
        <w:color w:val="5F5F5F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F5F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5F5F"/>
        <w:sz w:val="17"/>
      </w:rPr>
      <w:t>标策 BidPilot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标策 BidPilot AI 标书 Agent 产品需求文档</dc:title>
  <dc:subject>AI 产品经理作品集 PRD</dc:subject>
  <dc:creator>BidPilot Project</dc:creator>
  <cp:keywords>AI产品经理, Agent, 标书, PRD, 效果评测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