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628DD5">
      <w:pPr>
        <w:pStyle w:val="31"/>
      </w:pPr>
      <w:r>
        <w:t>智能药盒 产品说明</w:t>
      </w:r>
    </w:p>
    <w:p w14:paraId="65018008">
      <w:r>
        <w:t>智能药盒面向偶尔需要按既定安排用药的成年人，帮助其把已有的短期用药安排转成可核对、可执行、可追溯的每日任务。当前产品以手机尺寸网页验证计划建立、提醒与记录闭环；实体药盒尚未接入。产品不判断疾病，也不替代医生或药师决定用什么药、吃多少或何时调整。</w:t>
      </w:r>
    </w:p>
    <w:p w14:paraId="707213CA">
      <w:pPr>
        <w:pStyle w:val="3"/>
      </w:pPr>
      <w:r>
        <w:t>一 产品定位与核心用户</w:t>
      </w:r>
    </w:p>
    <w:p w14:paraId="52E5CF40">
      <w:r>
        <w:t>核心用户是能够独立使用手机、平时没有固定用药习惯，却在一段有限时间内需要按处方或其他已确认安排使用一至数种药品的成年人。典型情境是拿到一份安排后要连续执行数天：用户愿意照做，但不想为短期任务学习复杂的长期慢病管理工具。</w:t>
      </w:r>
    </w:p>
    <w:p w14:paraId="2FAFD8D1">
      <w:r>
        <w:t>首版聚焦单人、固定时刻、明确起止日期的安排。用户已经有可核对的药品名称、单次用量、单位和执行时间；缺少这些信息时，产品要求补充确认，而不自行推断。家庭成员代管、长期复杂疗程以及临床决策不属于当前核心场景。</w:t>
      </w:r>
    </w:p>
    <w:p w14:paraId="6550E90F">
      <w:pPr>
        <w:pStyle w:val="3"/>
      </w:pPr>
      <w:r>
        <w:t>二 核心问题与需求痛点</w:t>
      </w:r>
    </w:p>
    <w:p w14:paraId="779839AA">
      <w:r>
        <w:t>最值得优先解决的问题是：短期用药者很难用足够低的成本，把一份已有安排连续执行到结束，并清楚知道每次任务究竟处于什么状态。它同时包含开始时的录入负担和执行中的状态不确定；如果只是更容易录入，却依旧把“打开药盒”等同“已经服用”，产品仍无法建立可信记录。</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59B5F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6C1D6B08">
            <w:pPr>
              <w:spacing w:after="0" w:line="288" w:lineRule="auto"/>
            </w:pPr>
            <w:r>
              <w:rPr>
                <w:rFonts w:ascii="微软雅黑" w:hAnsi="微软雅黑" w:eastAsia="微软雅黑"/>
                <w:b/>
                <w:color w:val="000000"/>
                <w:sz w:val="18"/>
              </w:rPr>
              <w:t>使用阶段</w:t>
            </w:r>
          </w:p>
        </w:tc>
        <w:tc>
          <w:tcPr>
            <w:tcW w:w="3855" w:type="dxa"/>
            <w:tcMar>
              <w:top w:w="75" w:type="dxa"/>
              <w:left w:w="95" w:type="dxa"/>
              <w:bottom w:w="75" w:type="dxa"/>
              <w:right w:w="95" w:type="dxa"/>
            </w:tcMar>
            <w:vAlign w:val="center"/>
          </w:tcPr>
          <w:p w14:paraId="472FC990">
            <w:pPr>
              <w:spacing w:after="0" w:line="288" w:lineRule="auto"/>
            </w:pPr>
            <w:r>
              <w:rPr>
                <w:rFonts w:ascii="微软雅黑" w:hAnsi="微软雅黑" w:eastAsia="微软雅黑"/>
                <w:b/>
                <w:color w:val="000000"/>
                <w:sz w:val="18"/>
              </w:rPr>
              <w:t>用户遇到的困难</w:t>
            </w:r>
          </w:p>
        </w:tc>
        <w:tc>
          <w:tcPr>
            <w:tcW w:w="3912" w:type="dxa"/>
            <w:tcMar>
              <w:top w:w="75" w:type="dxa"/>
              <w:left w:w="95" w:type="dxa"/>
              <w:bottom w:w="75" w:type="dxa"/>
              <w:right w:w="95" w:type="dxa"/>
            </w:tcMar>
            <w:vAlign w:val="center"/>
          </w:tcPr>
          <w:p w14:paraId="581F1CC8">
            <w:pPr>
              <w:spacing w:after="0" w:line="288" w:lineRule="auto"/>
            </w:pPr>
            <w:r>
              <w:rPr>
                <w:rFonts w:ascii="微软雅黑" w:hAnsi="微软雅黑" w:eastAsia="微软雅黑"/>
                <w:b/>
                <w:color w:val="000000"/>
                <w:sz w:val="18"/>
              </w:rPr>
              <w:t>产品要给出的结果</w:t>
            </w:r>
          </w:p>
        </w:tc>
      </w:tr>
      <w:tr w14:paraId="4FC91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3CD731F9">
            <w:pPr>
              <w:spacing w:after="0" w:line="288" w:lineRule="auto"/>
            </w:pPr>
            <w:r>
              <w:rPr>
                <w:rFonts w:ascii="微软雅黑" w:hAnsi="微软雅黑" w:eastAsia="微软雅黑"/>
                <w:color w:val="000000"/>
                <w:sz w:val="18"/>
              </w:rPr>
              <w:t>开始前</w:t>
            </w:r>
          </w:p>
        </w:tc>
        <w:tc>
          <w:tcPr>
            <w:tcW w:w="3855" w:type="dxa"/>
            <w:tcMar>
              <w:top w:w="75" w:type="dxa"/>
              <w:left w:w="95" w:type="dxa"/>
              <w:bottom w:w="75" w:type="dxa"/>
              <w:right w:w="95" w:type="dxa"/>
            </w:tcMar>
            <w:vAlign w:val="center"/>
          </w:tcPr>
          <w:p w14:paraId="7121E322">
            <w:pPr>
              <w:spacing w:after="0" w:line="288" w:lineRule="auto"/>
            </w:pPr>
            <w:r>
              <w:rPr>
                <w:rFonts w:ascii="微软雅黑" w:hAnsi="微软雅黑" w:eastAsia="微软雅黑"/>
                <w:color w:val="000000"/>
                <w:sz w:val="18"/>
              </w:rPr>
              <w:t>处方、药袋或说明书信息分散；重新逐项录入容易漏掉日期、时间或单位。</w:t>
            </w:r>
          </w:p>
        </w:tc>
        <w:tc>
          <w:tcPr>
            <w:tcW w:w="3912" w:type="dxa"/>
            <w:tcMar>
              <w:top w:w="75" w:type="dxa"/>
              <w:left w:w="95" w:type="dxa"/>
              <w:bottom w:w="75" w:type="dxa"/>
              <w:right w:w="95" w:type="dxa"/>
            </w:tcMar>
            <w:vAlign w:val="center"/>
          </w:tcPr>
          <w:p w14:paraId="498F4CE2">
            <w:pPr>
              <w:spacing w:after="0" w:line="288" w:lineRule="auto"/>
            </w:pPr>
            <w:r>
              <w:rPr>
                <w:rFonts w:ascii="微软雅黑" w:hAnsi="微软雅黑" w:eastAsia="微软雅黑"/>
                <w:color w:val="000000"/>
                <w:sz w:val="18"/>
              </w:rPr>
              <w:t>从文字或照片整理已有信息，展示原文与字段供逐项核对。</w:t>
            </w:r>
          </w:p>
        </w:tc>
      </w:tr>
      <w:tr w14:paraId="1C289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4448563C">
            <w:pPr>
              <w:spacing w:after="0" w:line="288" w:lineRule="auto"/>
            </w:pPr>
            <w:r>
              <w:rPr>
                <w:rFonts w:ascii="微软雅黑" w:hAnsi="微软雅黑" w:eastAsia="微软雅黑"/>
                <w:color w:val="000000"/>
                <w:sz w:val="18"/>
              </w:rPr>
              <w:t>执行中</w:t>
            </w:r>
          </w:p>
        </w:tc>
        <w:tc>
          <w:tcPr>
            <w:tcW w:w="3855" w:type="dxa"/>
            <w:tcMar>
              <w:top w:w="75" w:type="dxa"/>
              <w:left w:w="95" w:type="dxa"/>
              <w:bottom w:w="75" w:type="dxa"/>
              <w:right w:w="95" w:type="dxa"/>
            </w:tcMar>
            <w:vAlign w:val="center"/>
          </w:tcPr>
          <w:p w14:paraId="6A5AFCF6">
            <w:pPr>
              <w:spacing w:after="0" w:line="288" w:lineRule="auto"/>
            </w:pPr>
            <w:r>
              <w:rPr>
                <w:rFonts w:ascii="微软雅黑" w:hAnsi="微软雅黑" w:eastAsia="微软雅黑"/>
                <w:color w:val="000000"/>
                <w:sz w:val="18"/>
              </w:rPr>
              <w:t>偶尔用药缺少习惯，忙碌时容易忘记对应时刻和药品。</w:t>
            </w:r>
          </w:p>
        </w:tc>
        <w:tc>
          <w:tcPr>
            <w:tcW w:w="3912" w:type="dxa"/>
            <w:tcMar>
              <w:top w:w="75" w:type="dxa"/>
              <w:left w:w="95" w:type="dxa"/>
              <w:bottom w:w="75" w:type="dxa"/>
              <w:right w:w="95" w:type="dxa"/>
            </w:tcMar>
            <w:vAlign w:val="center"/>
          </w:tcPr>
          <w:p w14:paraId="4555EBF7">
            <w:pPr>
              <w:spacing w:after="0" w:line="288" w:lineRule="auto"/>
            </w:pPr>
            <w:r>
              <w:rPr>
                <w:rFonts w:ascii="微软雅黑" w:hAnsi="微软雅黑" w:eastAsia="微软雅黑"/>
                <w:color w:val="000000"/>
                <w:sz w:val="18"/>
              </w:rPr>
              <w:t>按确认后的计划生成每日任务，显示时间、药品、用量与药格。</w:t>
            </w:r>
          </w:p>
        </w:tc>
      </w:tr>
      <w:tr w14:paraId="5FE1B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1AC65A5E">
            <w:pPr>
              <w:spacing w:after="0" w:line="288" w:lineRule="auto"/>
            </w:pPr>
            <w:r>
              <w:rPr>
                <w:rFonts w:ascii="微软雅黑" w:hAnsi="微软雅黑" w:eastAsia="微软雅黑"/>
                <w:color w:val="000000"/>
                <w:sz w:val="18"/>
              </w:rPr>
              <w:t>事后回看</w:t>
            </w:r>
          </w:p>
        </w:tc>
        <w:tc>
          <w:tcPr>
            <w:tcW w:w="3855" w:type="dxa"/>
            <w:tcMar>
              <w:top w:w="75" w:type="dxa"/>
              <w:left w:w="95" w:type="dxa"/>
              <w:bottom w:w="75" w:type="dxa"/>
              <w:right w:w="95" w:type="dxa"/>
            </w:tcMar>
            <w:vAlign w:val="center"/>
          </w:tcPr>
          <w:p w14:paraId="09E1B15E">
            <w:pPr>
              <w:spacing w:after="0" w:line="288" w:lineRule="auto"/>
            </w:pPr>
            <w:r>
              <w:rPr>
                <w:rFonts w:ascii="微软雅黑" w:hAnsi="微软雅黑" w:eastAsia="微软雅黑"/>
                <w:color w:val="000000"/>
                <w:sz w:val="18"/>
              </w:rPr>
              <w:t>记得打开过药盒，却不能确定是否真的服用。</w:t>
            </w:r>
          </w:p>
        </w:tc>
        <w:tc>
          <w:tcPr>
            <w:tcW w:w="3912" w:type="dxa"/>
            <w:tcMar>
              <w:top w:w="75" w:type="dxa"/>
              <w:left w:w="95" w:type="dxa"/>
              <w:bottom w:w="75" w:type="dxa"/>
              <w:right w:w="95" w:type="dxa"/>
            </w:tcMar>
            <w:vAlign w:val="center"/>
          </w:tcPr>
          <w:p w14:paraId="73345CFE">
            <w:pPr>
              <w:spacing w:after="0" w:line="288" w:lineRule="auto"/>
            </w:pPr>
            <w:r>
              <w:rPr>
                <w:rFonts w:ascii="微软雅黑" w:hAnsi="微软雅黑" w:eastAsia="微软雅黑"/>
                <w:color w:val="000000"/>
                <w:sz w:val="18"/>
              </w:rPr>
              <w:t>把开盒、用户确认服用、待核实和更正分开记录。</w:t>
            </w:r>
          </w:p>
        </w:tc>
      </w:tr>
      <w:tr w14:paraId="3D08A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1E7F6796">
            <w:pPr>
              <w:spacing w:after="0" w:line="288" w:lineRule="auto"/>
            </w:pPr>
            <w:r>
              <w:rPr>
                <w:rFonts w:ascii="微软雅黑" w:hAnsi="微软雅黑" w:eastAsia="微软雅黑"/>
                <w:color w:val="000000"/>
                <w:sz w:val="18"/>
              </w:rPr>
              <w:t>结束后</w:t>
            </w:r>
          </w:p>
        </w:tc>
        <w:tc>
          <w:tcPr>
            <w:tcW w:w="3855" w:type="dxa"/>
            <w:tcMar>
              <w:top w:w="75" w:type="dxa"/>
              <w:left w:w="95" w:type="dxa"/>
              <w:bottom w:w="75" w:type="dxa"/>
              <w:right w:w="95" w:type="dxa"/>
            </w:tcMar>
            <w:vAlign w:val="center"/>
          </w:tcPr>
          <w:p w14:paraId="4DED35C5">
            <w:pPr>
              <w:spacing w:after="0" w:line="288" w:lineRule="auto"/>
            </w:pPr>
            <w:r>
              <w:rPr>
                <w:rFonts w:ascii="微软雅黑" w:hAnsi="微软雅黑" w:eastAsia="微软雅黑"/>
                <w:color w:val="000000"/>
                <w:sz w:val="18"/>
              </w:rPr>
              <w:t>短期安排结束仍在提醒，历史状态又不方便查。</w:t>
            </w:r>
          </w:p>
        </w:tc>
        <w:tc>
          <w:tcPr>
            <w:tcW w:w="3912" w:type="dxa"/>
            <w:tcMar>
              <w:top w:w="75" w:type="dxa"/>
              <w:left w:w="95" w:type="dxa"/>
              <w:bottom w:w="75" w:type="dxa"/>
              <w:right w:w="95" w:type="dxa"/>
            </w:tcMar>
            <w:vAlign w:val="center"/>
          </w:tcPr>
          <w:p w14:paraId="48F76678">
            <w:pPr>
              <w:spacing w:after="0" w:line="288" w:lineRule="auto"/>
            </w:pPr>
            <w:r>
              <w:rPr>
                <w:rFonts w:ascii="微软雅黑" w:hAnsi="微软雅黑" w:eastAsia="微软雅黑"/>
                <w:color w:val="000000"/>
                <w:sz w:val="18"/>
              </w:rPr>
              <w:t>到期停止后续提醒并归档，保留真实的未确认状态。</w:t>
            </w:r>
          </w:p>
        </w:tc>
      </w:tr>
    </w:tbl>
    <w:p w14:paraId="574391A7">
      <w:pPr>
        <w:spacing w:after="0"/>
      </w:pPr>
    </w:p>
    <w:p w14:paraId="187EC597">
      <w:pPr>
        <w:pStyle w:val="3"/>
      </w:pPr>
      <w:r>
        <w:t>三 用户要完成的完整任务</w:t>
      </w:r>
    </w:p>
    <w:p w14:paraId="35452303">
      <w:r>
        <w:t>用户进入网页后，先填写计划起止日期，再选择手动填写、粘贴已有安排，或拍摄处方照片。系统整理药品、用量、时间等字段，并把能识别的原文留在核对界面；缺失的明确时刻和日期不能凭“每日两次”等表述补齐。用户对照原安排修改字段，给药品绑定药格，确认无误后启用计划。</w:t>
      </w:r>
    </w:p>
    <w:p w14:paraId="564002C3">
      <w:r>
        <w:t>启用后，首页按日期展示任务。到点时，网页保持打开的情况下给出提醒；用户可以记录开盒，但任务仍待确认。只有用户点击“我已服用”才成为已确认；不确定时可标为待核实，之后可补记或更正。计划到</w:t>
      </w:r>
      <w:bookmarkStart w:id="0" w:name="_GoBack"/>
      <w:bookmarkEnd w:id="0"/>
      <w:r>
        <w:t>期自动归档，用户也可停止提醒或删除计划。记录页保留操作时间线，帮助用户回看而不替其推断服药事实。</w:t>
      </w:r>
    </w:p>
    <w:p w14:paraId="7B29BB3A">
      <w:pPr>
        <w:pStyle w:val="3"/>
      </w:pPr>
      <w:r>
        <w:t>四 产品方案与智能能力</w:t>
      </w:r>
    </w:p>
    <w:p w14:paraId="31CFD73E">
      <w:pPr>
        <w:pStyle w:val="4"/>
      </w:pPr>
      <w:r>
        <w:t>计划建立</w:t>
      </w:r>
    </w:p>
    <w:p w14:paraId="6CBBAC75">
      <w:r>
        <w:t>手机网页将计划拆成输入、核对、确认三个步骤。当前支持 1 至 30 天的计划、每份计划 1 至 3 种药品，以及三个药格的映射；同一时段的不同计划不能重复占用同一药格。文本和处方照片可辅助提取字段，用户也可完全手动填写。处方照片在字段完整时可形成计划草稿，但仍需对照原图确认后才生效。药品说明书的通用用法不直接生成个人计划。</w:t>
      </w:r>
    </w:p>
    <w:p w14:paraId="12B468A1">
      <w:pPr>
        <w:pStyle w:val="4"/>
      </w:pPr>
      <w:r>
        <w:t>执行记录与提醒</w:t>
      </w:r>
    </w:p>
    <w:p w14:paraId="5ABCA158">
      <w:r>
        <w:t>系统把每个日期与时刻生成独立任务，保留计划时间、提醒时间和实际操作记录。开盒只是一条行为事件，不代表服药；确认服用、待核实、记录更正均有单独状态。网页关闭后不保证提醒送达，实体药盒连接和自动开盖记录也尚未实现。</w:t>
      </w:r>
    </w:p>
    <w:p w14:paraId="21331437">
      <w:pPr>
        <w:pStyle w:val="4"/>
      </w:pPr>
      <w:r>
        <w:t>用药助手</w:t>
      </w:r>
    </w:p>
    <w:p w14:paraId="60382D60">
      <w:r>
        <w:t>右下角的用药助手可以读取当前浏览器中已启用计划的时间，也能回答有依据的药品资料问题。现有预置知识来自美国国家医学图书馆 MedlinePlus 的三种常见药品资料；其他药品可由用户上传对应说明书照片，核对识别文字后，助手仅摘取其中与问题相关且可在原文核对的片段。回答标明信息来源；找不到依据时明确说明。严重症状、个人剂量变更、漏服补服及合用决策不由助手替用户下结论。</w:t>
      </w:r>
    </w:p>
    <w:p w14:paraId="2B2AFDB3">
      <w:r>
        <w:t>智能能力参与的是“整理已有信息”和“检索可核对依据”两个环节。这样设计，是因为非结构化文字和图片增加了录入成本，而错误或无来源的推断会直接破坏用药计划的可信度。模型输出必须经过字段校验和用户核对；它不负责创造新的医嘱。</w:t>
      </w:r>
    </w:p>
    <w:p w14:paraId="11DC9795">
      <w:pPr>
        <w:pStyle w:val="3"/>
      </w:pPr>
      <w:r>
        <w:t>五 当前实现与后续产品形态</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81"/>
        <w:gridCol w:w="3081"/>
        <w:gridCol w:w="3081"/>
      </w:tblGrid>
      <w:tr w14:paraId="516DC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653B6089">
            <w:pPr>
              <w:spacing w:after="0" w:line="288" w:lineRule="auto"/>
            </w:pPr>
            <w:r>
              <w:rPr>
                <w:rFonts w:ascii="微软雅黑" w:hAnsi="微软雅黑" w:eastAsia="微软雅黑"/>
                <w:b/>
                <w:color w:val="000000"/>
                <w:sz w:val="18"/>
              </w:rPr>
              <w:t>部分</w:t>
            </w:r>
          </w:p>
        </w:tc>
        <w:tc>
          <w:tcPr>
            <w:tcW w:w="4025" w:type="dxa"/>
            <w:tcMar>
              <w:top w:w="75" w:type="dxa"/>
              <w:left w:w="95" w:type="dxa"/>
              <w:bottom w:w="75" w:type="dxa"/>
              <w:right w:w="95" w:type="dxa"/>
            </w:tcMar>
            <w:vAlign w:val="center"/>
          </w:tcPr>
          <w:p w14:paraId="0553831E">
            <w:pPr>
              <w:spacing w:after="0" w:line="288" w:lineRule="auto"/>
            </w:pPr>
            <w:r>
              <w:rPr>
                <w:rFonts w:ascii="微软雅黑" w:hAnsi="微软雅黑" w:eastAsia="微软雅黑"/>
                <w:b/>
                <w:color w:val="000000"/>
                <w:sz w:val="18"/>
              </w:rPr>
              <w:t>当前网页验证版</w:t>
            </w:r>
          </w:p>
        </w:tc>
        <w:tc>
          <w:tcPr>
            <w:tcW w:w="3742" w:type="dxa"/>
            <w:tcMar>
              <w:top w:w="75" w:type="dxa"/>
              <w:left w:w="95" w:type="dxa"/>
              <w:bottom w:w="75" w:type="dxa"/>
              <w:right w:w="95" w:type="dxa"/>
            </w:tcMar>
            <w:vAlign w:val="center"/>
          </w:tcPr>
          <w:p w14:paraId="7F5F7589">
            <w:pPr>
              <w:spacing w:after="0" w:line="288" w:lineRule="auto"/>
            </w:pPr>
            <w:r>
              <w:rPr>
                <w:rFonts w:ascii="微软雅黑" w:hAnsi="微软雅黑" w:eastAsia="微软雅黑"/>
                <w:b/>
                <w:color w:val="000000"/>
                <w:sz w:val="18"/>
              </w:rPr>
              <w:t>下一阶段需要验证</w:t>
            </w:r>
          </w:p>
        </w:tc>
      </w:tr>
      <w:tr w14:paraId="6CA9A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7B2760FE">
            <w:pPr>
              <w:spacing w:after="0" w:line="288" w:lineRule="auto"/>
            </w:pPr>
            <w:r>
              <w:rPr>
                <w:rFonts w:ascii="微软雅黑" w:hAnsi="微软雅黑" w:eastAsia="微软雅黑"/>
                <w:color w:val="000000"/>
                <w:sz w:val="18"/>
              </w:rPr>
              <w:t>手机端</w:t>
            </w:r>
          </w:p>
        </w:tc>
        <w:tc>
          <w:tcPr>
            <w:tcW w:w="4025" w:type="dxa"/>
            <w:tcMar>
              <w:top w:w="75" w:type="dxa"/>
              <w:left w:w="95" w:type="dxa"/>
              <w:bottom w:w="75" w:type="dxa"/>
              <w:right w:w="95" w:type="dxa"/>
            </w:tcMar>
            <w:vAlign w:val="center"/>
          </w:tcPr>
          <w:p w14:paraId="12EEB704">
            <w:pPr>
              <w:spacing w:after="0" w:line="288" w:lineRule="auto"/>
            </w:pPr>
            <w:r>
              <w:rPr>
                <w:rFonts w:ascii="微软雅黑" w:hAnsi="微软雅黑" w:eastAsia="微软雅黑"/>
                <w:color w:val="000000"/>
                <w:sz w:val="18"/>
              </w:rPr>
              <w:t>创建多份计划、编辑核对、提醒、任务状态、记录、归档和删除；数据保存在当前浏览器。</w:t>
            </w:r>
          </w:p>
        </w:tc>
        <w:tc>
          <w:tcPr>
            <w:tcW w:w="3742" w:type="dxa"/>
            <w:tcMar>
              <w:top w:w="75" w:type="dxa"/>
              <w:left w:w="95" w:type="dxa"/>
              <w:bottom w:w="75" w:type="dxa"/>
              <w:right w:w="95" w:type="dxa"/>
            </w:tcMar>
            <w:vAlign w:val="center"/>
          </w:tcPr>
          <w:p w14:paraId="1C08A7B4">
            <w:pPr>
              <w:spacing w:after="0" w:line="288" w:lineRule="auto"/>
            </w:pPr>
            <w:r>
              <w:rPr>
                <w:rFonts w:ascii="微软雅黑" w:hAnsi="微软雅黑" w:eastAsia="微软雅黑"/>
                <w:color w:val="000000"/>
                <w:sz w:val="18"/>
              </w:rPr>
              <w:t>跨设备同步、后台可靠提醒和更完整的隐私控制。</w:t>
            </w:r>
          </w:p>
        </w:tc>
      </w:tr>
      <w:tr w14:paraId="14F14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2E61C98A">
            <w:pPr>
              <w:spacing w:after="0" w:line="288" w:lineRule="auto"/>
            </w:pPr>
            <w:r>
              <w:rPr>
                <w:rFonts w:ascii="微软雅黑" w:hAnsi="微软雅黑" w:eastAsia="微软雅黑"/>
                <w:color w:val="000000"/>
                <w:sz w:val="18"/>
              </w:rPr>
              <w:t>资料处理</w:t>
            </w:r>
          </w:p>
        </w:tc>
        <w:tc>
          <w:tcPr>
            <w:tcW w:w="4025" w:type="dxa"/>
            <w:tcMar>
              <w:top w:w="75" w:type="dxa"/>
              <w:left w:w="95" w:type="dxa"/>
              <w:bottom w:w="75" w:type="dxa"/>
              <w:right w:w="95" w:type="dxa"/>
            </w:tcMar>
            <w:vAlign w:val="center"/>
          </w:tcPr>
          <w:p w14:paraId="28A3B7BC">
            <w:pPr>
              <w:spacing w:after="0" w:line="288" w:lineRule="auto"/>
            </w:pPr>
            <w:r>
              <w:rPr>
                <w:rFonts w:ascii="微软雅黑" w:hAnsi="微软雅黑" w:eastAsia="微软雅黑"/>
                <w:color w:val="000000"/>
                <w:sz w:val="18"/>
              </w:rPr>
              <w:t>百炼模型整理文字和识别照片；助手按预置资料或已确认说明书原文回答。</w:t>
            </w:r>
          </w:p>
        </w:tc>
        <w:tc>
          <w:tcPr>
            <w:tcW w:w="3742" w:type="dxa"/>
            <w:tcMar>
              <w:top w:w="75" w:type="dxa"/>
              <w:left w:w="95" w:type="dxa"/>
              <w:bottom w:w="75" w:type="dxa"/>
              <w:right w:w="95" w:type="dxa"/>
            </w:tcMar>
            <w:vAlign w:val="center"/>
          </w:tcPr>
          <w:p w14:paraId="18C0554A">
            <w:pPr>
              <w:spacing w:after="0" w:line="288" w:lineRule="auto"/>
            </w:pPr>
            <w:r>
              <w:rPr>
                <w:rFonts w:ascii="微软雅黑" w:hAnsi="微软雅黑" w:eastAsia="微软雅黑"/>
                <w:color w:val="000000"/>
                <w:sz w:val="18"/>
              </w:rPr>
              <w:t>更多可信来源的覆盖、识别质量与真实材料的稳定性。</w:t>
            </w:r>
          </w:p>
        </w:tc>
      </w:tr>
      <w:tr w14:paraId="660AD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Mar>
              <w:top w:w="75" w:type="dxa"/>
              <w:left w:w="95" w:type="dxa"/>
              <w:bottom w:w="75" w:type="dxa"/>
              <w:right w:w="95" w:type="dxa"/>
            </w:tcMar>
            <w:vAlign w:val="center"/>
          </w:tcPr>
          <w:p w14:paraId="48433EE1">
            <w:pPr>
              <w:spacing w:after="0" w:line="288" w:lineRule="auto"/>
            </w:pPr>
            <w:r>
              <w:rPr>
                <w:rFonts w:ascii="微软雅黑" w:hAnsi="微软雅黑" w:eastAsia="微软雅黑"/>
                <w:color w:val="000000"/>
                <w:sz w:val="18"/>
              </w:rPr>
              <w:t>实体药盒</w:t>
            </w:r>
          </w:p>
        </w:tc>
        <w:tc>
          <w:tcPr>
            <w:tcW w:w="4025" w:type="dxa"/>
            <w:tcMar>
              <w:top w:w="75" w:type="dxa"/>
              <w:left w:w="95" w:type="dxa"/>
              <w:bottom w:w="75" w:type="dxa"/>
              <w:right w:w="95" w:type="dxa"/>
            </w:tcMar>
            <w:vAlign w:val="center"/>
          </w:tcPr>
          <w:p w14:paraId="1E481DA7">
            <w:pPr>
              <w:spacing w:after="0" w:line="288" w:lineRule="auto"/>
            </w:pPr>
            <w:r>
              <w:rPr>
                <w:rFonts w:ascii="微软雅黑" w:hAnsi="微软雅黑" w:eastAsia="微软雅黑"/>
                <w:color w:val="000000"/>
                <w:sz w:val="18"/>
              </w:rPr>
              <w:t>界面提供三格映射，开盒事件由用户手动记录；明确显示未连接。</w:t>
            </w:r>
          </w:p>
        </w:tc>
        <w:tc>
          <w:tcPr>
            <w:tcW w:w="3742" w:type="dxa"/>
            <w:tcMar>
              <w:top w:w="75" w:type="dxa"/>
              <w:left w:w="95" w:type="dxa"/>
              <w:bottom w:w="75" w:type="dxa"/>
              <w:right w:w="95" w:type="dxa"/>
            </w:tcMar>
            <w:vAlign w:val="center"/>
          </w:tcPr>
          <w:p w14:paraId="77234749">
            <w:pPr>
              <w:spacing w:after="0" w:line="288" w:lineRule="auto"/>
            </w:pPr>
            <w:r>
              <w:rPr>
                <w:rFonts w:ascii="微软雅黑" w:hAnsi="微软雅黑" w:eastAsia="微软雅黑"/>
                <w:color w:val="000000"/>
                <w:sz w:val="18"/>
              </w:rPr>
              <w:t>设备配对、开盖事件同步、离线补传和硬件提示可靠性。</w:t>
            </w:r>
          </w:p>
        </w:tc>
      </w:tr>
    </w:tbl>
    <w:p w14:paraId="1E6364B8">
      <w:pPr>
        <w:spacing w:after="0"/>
      </w:pPr>
    </w:p>
    <w:p w14:paraId="2C76C14D">
      <w:r>
        <w:t>完整产品设想是手机端负责计划、核对和记录，三格实体药盒负责格位提示与开盖事件采集。即使未来接入硬件，也必须继续区分“盒盖打开”和“用户确认已服用”；设备连接失败时，手机端仍应允许查看计划和手动记录。</w:t>
      </w:r>
    </w:p>
    <w:p w14:paraId="78D9E36A">
      <w:pPr>
        <w:pStyle w:val="3"/>
      </w:pPr>
      <w:r>
        <w:t>六 关键假设与验证方式</w:t>
      </w:r>
    </w:p>
    <w:p w14:paraId="776C1154">
      <w:r>
        <w:t>当前最重要但尚未验证的判断是：偶尔用药的用户愿意在计划开始前花少量时间核对提取字段，换取之后更省心、状态更清楚的执行体验。若核对比直接手动录入更费时，或用户仍把开盒误认为已服用，产品的核心价值就不成立。</w:t>
      </w:r>
    </w:p>
    <w:p w14:paraId="081649FA">
      <w:r>
        <w:t>建议用真实目标用户完成同一份短期安排任务，分别观察手动录入与照片或文字整理的完成时间、关键字段错误和补改次数；随后用若干天的任务卡验证提醒是否被理解、开盒与服用两种状态是否被正确区分、待核实是否愿意使用。访谈应重点追问：用户何时需要看记录、哪些核对步骤显得多余、是否愿意再次使用。以上是待执行的验证方案，不应写成已经获得的研究结论。</w:t>
      </w:r>
    </w:p>
    <w:p w14:paraId="1B9077DE">
      <w:r>
        <w:t>进入实体药盒阶段前，还需单独验证用户是否愿意为短期用药准备专用硬件，以及格位提示和开盖记录能否带来超出手机网页的收益。当前网页只能验证交互与信息流程，不能证明设备提醒、开盖识别或实际服药行为的效果。</w:t>
      </w:r>
    </w:p>
    <w:sectPr>
      <w:footerReference r:id="rId5" w:type="default"/>
      <w:pgSz w:w="11906" w:h="16838"/>
      <w:pgMar w:top="1106" w:right="1332" w:bottom="1049" w:left="133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15F591">
    <w:pPr>
      <w:pStyle w:val="24"/>
      <w:jc w:val="right"/>
    </w:pPr>
    <w:r>
      <w:rPr>
        <w:sz w:val="16"/>
      </w:rPr>
      <w:t>智能药盒  产品说明</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7" w:lineRule="auto"/>
      </w:pPr>
      <w:r>
        <w:separator/>
      </w:r>
    </w:p>
  </w:footnote>
  <w:footnote w:type="continuationSeparator" w:id="1">
    <w:p>
      <w:pPr>
        <w:spacing w:before="0" w:after="0" w:line="31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2166DC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00" w:line="317" w:lineRule="auto"/>
    </w:pPr>
    <w:rPr>
      <w:rFonts w:ascii="微软雅黑" w:hAnsi="微软雅黑" w:eastAsia="微软雅黑" w:cstheme="minorBidi"/>
      <w:color w:val="000000"/>
      <w:sz w:val="20"/>
      <w:szCs w:val="22"/>
      <w:lang w:val="en-US" w:eastAsia="en-US" w:bidi="ar-SA"/>
    </w:rPr>
  </w:style>
  <w:style w:type="paragraph" w:styleId="3">
    <w:name w:val="heading 1"/>
    <w:basedOn w:val="1"/>
    <w:next w:val="1"/>
    <w:link w:val="138"/>
    <w:qFormat/>
    <w:uiPriority w:val="9"/>
    <w:pPr>
      <w:keepNext/>
      <w:keepLines/>
      <w:spacing w:before="220" w:after="12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160" w:after="80"/>
      <w:outlineLvl w:val="1"/>
    </w:pPr>
    <w:rPr>
      <w:rFonts w:asciiTheme="majorHAnsi" w:hAnsiTheme="majorHAnsi" w:eastAsiaTheme="majorEastAsia" w:cstheme="majorBidi"/>
      <w:b/>
      <w:bCs/>
      <w:color w:val="000000"/>
      <w:sz w:val="23"/>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pBdr>
        <w:bottom w:val="none" w:color="auto" w:sz="0" w:space="0"/>
      </w:pBdr>
      <w:spacing w:before="0" w:after="240" w:line="240" w:lineRule="auto"/>
      <w:contextualSpacing/>
    </w:pPr>
    <w:rPr>
      <w:rFonts w:asciiTheme="majorHAnsi" w:hAnsiTheme="majorHAnsi" w:eastAsiaTheme="majorEastAsia" w:cstheme="majorBidi"/>
      <w:b/>
      <w:color w:val="000000"/>
      <w:spacing w:val="5"/>
      <w:kern w:val="28"/>
      <w:sz w:val="4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2259</Words>
  <Characters>2274</Characters>
  <Lines>0</Lines>
  <Paragraphs>0</Paragraphs>
  <TotalTime>10</TotalTime>
  <ScaleCrop>false</ScaleCrop>
  <LinksUpToDate>false</LinksUpToDate>
  <CharactersWithSpaces>2296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刘申学霸</cp:lastModifiedBy>
  <dcterms:modified xsi:type="dcterms:W3CDTF">2026-10-10T10:24:49Z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eyJoZGlkIjoiMTQxOWIzOWE0MTRiY2VmYzgxOTVkYWZmMWQ5MTExY2UiLCJ1c2VySWQiOiI0NTE5MzA5NzcifQ==</vt:lpwstr>
  </property>
  <property fmtid="{D5CDD505-2E9C-101B-9397-08002B2CF9AE}" pid="3" name="KSOProductBuildVer">
    <vt:lpwstr>2052-12.1.0.28505</vt:lpwstr>
  </property>
  <property fmtid="{D5CDD505-2E9C-101B-9397-08002B2CF9AE}" pid="4" name="ICV">
    <vt:lpwstr>11AE3AE9F2A64EBCBCDCF2C50BB99341_12</vt:lpwstr>
  </property>
</Properties>
</file>