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14235">
      <w:pPr>
        <w:pStyle w:val="31"/>
        <w:rPr>
          <w:rFonts w:hint="eastAsia" w:ascii="微软雅黑" w:hAnsi="微软雅黑" w:eastAsia="微软雅黑" w:cs="微软雅黑"/>
        </w:rPr>
      </w:pPr>
      <w:r>
        <w:rPr>
          <w:rFonts w:hint="eastAsia" w:ascii="微软雅黑" w:hAnsi="微软雅黑" w:eastAsia="微软雅黑" w:cs="微软雅黑"/>
        </w:rPr>
        <w:t>智能药盒验证与复盘</w:t>
      </w:r>
      <w:bookmarkStart w:id="0" w:name="_GoBack"/>
      <w:bookmarkEnd w:id="0"/>
    </w:p>
    <w:p w14:paraId="3E32E19F">
      <w:pPr>
        <w:widowControl/>
        <w:rPr>
          <w:rFonts w:hint="eastAsia" w:ascii="微软雅黑" w:hAnsi="微软雅黑" w:eastAsia="微软雅黑" w:cs="微软雅黑"/>
        </w:rPr>
      </w:pPr>
      <w:r>
        <w:rPr>
          <w:rFonts w:hint="eastAsia" w:ascii="微软雅黑" w:hAnsi="微软雅黑" w:eastAsia="微软雅黑" w:cs="微软雅黑"/>
        </w:rPr>
        <w:t>当前原型已经把手动录入、处方与说明书照片、定时与按需计划、任务记录和有依据的用药助手串成可运行的手机网页。代码测试与单张真实说明书的端到端演示证明“流程能跑通”，但尚不能证明它让真实用户更快、更准确、更安全地管理短期用药。本文件明确最需要验证的判断、验证方法以及下一阶段的扩展顺序。</w:t>
      </w:r>
    </w:p>
    <w:p w14:paraId="3F702D69">
      <w:pPr>
        <w:pStyle w:val="3"/>
        <w:rPr>
          <w:rFonts w:hint="eastAsia" w:ascii="微软雅黑" w:hAnsi="微软雅黑" w:eastAsia="微软雅黑" w:cs="微软雅黑"/>
        </w:rPr>
      </w:pPr>
      <w:r>
        <w:rPr>
          <w:rFonts w:hint="eastAsia" w:ascii="微软雅黑" w:hAnsi="微软雅黑" w:eastAsia="微软雅黑" w:cs="微软雅黑"/>
        </w:rPr>
        <w:t>一 当前已经掌握的证据</w:t>
      </w:r>
    </w:p>
    <w:p w14:paraId="627235AE">
      <w:pPr>
        <w:pStyle w:val="16"/>
        <w:widowControl/>
        <w:rPr>
          <w:rFonts w:hint="eastAsia" w:ascii="微软雅黑" w:hAnsi="微软雅黑" w:eastAsia="微软雅黑" w:cs="微软雅黑"/>
        </w:rPr>
      </w:pPr>
      <w:r>
        <w:rPr>
          <w:rFonts w:hint="eastAsia" w:ascii="微软雅黑" w:hAnsi="微软雅黑" w:eastAsia="微软雅黑" w:cs="微软雅黑"/>
        </w:rPr>
        <w:t>功能实现：说明书上传后自动进入计划草稿；用户选适用人群和用途后，才将对应单次用量带入按需计划。条件性重复用药不会生成固定时刻任务。</w:t>
      </w:r>
    </w:p>
    <w:p w14:paraId="316FE7CD">
      <w:pPr>
        <w:pStyle w:val="16"/>
        <w:widowControl/>
        <w:rPr>
          <w:rFonts w:hint="eastAsia" w:ascii="微软雅黑" w:hAnsi="微软雅黑" w:eastAsia="微软雅黑" w:cs="微软雅黑"/>
        </w:rPr>
      </w:pPr>
      <w:r>
        <w:rPr>
          <w:rFonts w:hint="eastAsia" w:ascii="微软雅黑" w:hAnsi="微软雅黑" w:eastAsia="微软雅黑" w:cs="微软雅黑"/>
        </w:rPr>
        <w:t>工程检查：现有自动化检查覆盖计划有效性、药格冲突、按需任务与次数提醒、说明书字段提取和助手边界。当前项目中 JavaScript 测试 8 项、Python 测试 18 项通过。</w:t>
      </w:r>
    </w:p>
    <w:p w14:paraId="13022F05">
      <w:pPr>
        <w:pStyle w:val="16"/>
        <w:widowControl/>
        <w:rPr>
          <w:rFonts w:hint="eastAsia" w:ascii="微软雅黑" w:hAnsi="微软雅黑" w:eastAsia="微软雅黑" w:cs="微软雅黑"/>
        </w:rPr>
      </w:pPr>
      <w:r>
        <w:rPr>
          <w:rFonts w:hint="eastAsia" w:ascii="微软雅黑" w:hAnsi="微软雅黑" w:eastAsia="微软雅黑" w:cs="微软雅黑"/>
        </w:rPr>
        <w:t>端到端样本：项目内的布洛芬颗粒说明书照片可被识别为说明书，提取两档人群用量、4 至 6 小时间隔、24 小时次数上限及止痛和退热的天数限制，并进入核对页。</w:t>
      </w:r>
    </w:p>
    <w:p w14:paraId="248448F7">
      <w:pPr>
        <w:widowControl/>
        <w:rPr>
          <w:rFonts w:hint="eastAsia" w:ascii="微软雅黑" w:hAnsi="微软雅黑" w:eastAsia="微软雅黑" w:cs="微软雅黑"/>
        </w:rPr>
      </w:pPr>
      <w:r>
        <w:rPr>
          <w:rFonts w:hint="eastAsia" w:ascii="微软雅黑" w:hAnsi="微软雅黑" w:eastAsia="微软雅黑" w:cs="微软雅黑"/>
        </w:rPr>
        <w:t>这些证据仍局限于指定样本和开发环境。尚无真实用户的完成率、实际错误率、持续使用率或临床安全结论；实体药盒、后台通知和跨设备数据也未验证。</w:t>
      </w:r>
    </w:p>
    <w:p w14:paraId="2672B031">
      <w:pPr>
        <w:pStyle w:val="3"/>
        <w:rPr>
          <w:rFonts w:hint="eastAsia" w:ascii="微软雅黑" w:hAnsi="微软雅黑" w:eastAsia="微软雅黑" w:cs="微软雅黑"/>
        </w:rPr>
      </w:pPr>
      <w:r>
        <w:rPr>
          <w:rFonts w:hint="eastAsia" w:ascii="微软雅黑" w:hAnsi="微软雅黑" w:eastAsia="微软雅黑" w:cs="微软雅黑"/>
        </w:rPr>
        <w:t>二 当前最关键但尚未验证的假设</w:t>
      </w:r>
    </w:p>
    <w:p w14:paraId="7565165D">
      <w:pPr>
        <w:widowControl/>
        <w:rPr>
          <w:rFonts w:hint="eastAsia" w:ascii="微软雅黑" w:hAnsi="微软雅黑" w:eastAsia="微软雅黑" w:cs="微软雅黑"/>
        </w:rPr>
      </w:pPr>
      <w:r>
        <w:rPr>
          <w:rFonts w:hint="eastAsia" w:ascii="微软雅黑" w:hAnsi="微软雅黑" w:eastAsia="微软雅黑" w:cs="微软雅黑"/>
        </w:rPr>
        <w:t>最关键的假设是：面对真实处方或说明书，短期用药者能够借助自动填写草稿，在更少时间内建立正确、可理解的计划，并在核对过程中识别关键错误；系统不会因为把通用说明书变成草稿而诱导错误服药。</w:t>
      </w:r>
    </w:p>
    <w:p w14:paraId="61E95FA8">
      <w:pPr>
        <w:widowControl/>
        <w:rPr>
          <w:rFonts w:hint="eastAsia" w:ascii="微软雅黑" w:hAnsi="微软雅黑" w:eastAsia="微软雅黑" w:cs="微软雅黑"/>
        </w:rPr>
      </w:pPr>
      <w:r>
        <w:rPr>
          <w:rFonts w:hint="eastAsia" w:ascii="微软雅黑" w:hAnsi="微软雅黑" w:eastAsia="微软雅黑" w:cs="微软雅黑"/>
        </w:rPr>
        <w:t>这个假设同时涉及价值与安全。如果速度提高但年龄组、单次用量或按需条件被误读，产品就不应扩大使用；如果安全但核对成本过高，用户仍可能放弃。因此首轮验证不能只看模型字段准确率，也要观察用户是否理解、是否纠错和是否愿意继续用。</w:t>
      </w:r>
    </w:p>
    <w:p w14:paraId="4416262A">
      <w:pPr>
        <w:pStyle w:val="3"/>
        <w:rPr>
          <w:rFonts w:hint="eastAsia" w:ascii="微软雅黑" w:hAnsi="微软雅黑" w:eastAsia="微软雅黑" w:cs="微软雅黑"/>
        </w:rPr>
      </w:pPr>
      <w:r>
        <w:rPr>
          <w:rFonts w:hint="eastAsia" w:ascii="微软雅黑" w:hAnsi="微软雅黑" w:eastAsia="微软雅黑" w:cs="微软雅黑"/>
        </w:rPr>
        <w:t>三 验证对象与任务设计</w:t>
      </w:r>
    </w:p>
    <w:p w14:paraId="277344D7">
      <w:pPr>
        <w:pStyle w:val="4"/>
        <w:rPr>
          <w:rFonts w:hint="eastAsia" w:ascii="微软雅黑" w:hAnsi="微软雅黑" w:eastAsia="微软雅黑" w:cs="微软雅黑"/>
        </w:rPr>
      </w:pPr>
      <w:r>
        <w:rPr>
          <w:rFonts w:hint="eastAsia" w:ascii="微软雅黑" w:hAnsi="微软雅黑" w:eastAsia="微软雅黑" w:cs="微软雅黑"/>
        </w:rPr>
        <w:t>材料与对照</w:t>
      </w:r>
    </w:p>
    <w:p w14:paraId="381D4339">
      <w:pPr>
        <w:widowControl/>
        <w:rPr>
          <w:rFonts w:hint="eastAsia" w:ascii="微软雅黑" w:hAnsi="微软雅黑" w:eastAsia="微软雅黑" w:cs="微软雅黑"/>
        </w:rPr>
      </w:pPr>
      <w:r>
        <w:rPr>
          <w:rFonts w:hint="eastAsia" w:ascii="微软雅黑" w:hAnsi="微软雅黑" w:eastAsia="微软雅黑" w:cs="微软雅黑"/>
        </w:rPr>
        <w:t>收集约 30 份经授权、去标识化的短期用药材料，覆盖清晰与模糊照片、处方与说明书、分年龄用量、按需条件、缺少时刻、相似药名以及信息矛盾。</w:t>
      </w:r>
    </w:p>
    <w:p w14:paraId="0FA5B3B0">
      <w:pPr>
        <w:widowControl/>
        <w:rPr>
          <w:rFonts w:hint="eastAsia" w:ascii="微软雅黑" w:hAnsi="微软雅黑" w:eastAsia="微软雅黑" w:cs="微软雅黑"/>
        </w:rPr>
      </w:pPr>
      <w:r>
        <w:rPr>
          <w:rFonts w:hint="eastAsia" w:ascii="微软雅黑" w:hAnsi="微软雅黑" w:eastAsia="微软雅黑" w:cs="微软雅黑"/>
        </w:rPr>
        <w:t>至少由两名具备药学或临床背景的审核者独立标注药名、单次用量、适用人群、频率、限制与不可推断字段；意见不一致时先形成仲裁结果。测试阶段不引导参与者真的服药。</w:t>
      </w:r>
    </w:p>
    <w:p w14:paraId="56731FA8">
      <w:pPr>
        <w:pStyle w:val="4"/>
        <w:rPr>
          <w:rFonts w:hint="eastAsia" w:ascii="微软雅黑" w:hAnsi="微软雅黑" w:eastAsia="微软雅黑" w:cs="微软雅黑"/>
        </w:rPr>
      </w:pPr>
      <w:r>
        <w:rPr>
          <w:rFonts w:hint="eastAsia" w:ascii="微软雅黑" w:hAnsi="微软雅黑" w:eastAsia="微软雅黑" w:cs="微软雅黑"/>
        </w:rPr>
        <w:t>用户任务</w:t>
      </w:r>
    </w:p>
    <w:p w14:paraId="08215331">
      <w:pPr>
        <w:widowControl/>
        <w:rPr>
          <w:rFonts w:hint="eastAsia" w:ascii="微软雅黑" w:hAnsi="微软雅黑" w:eastAsia="微软雅黑" w:cs="微软雅黑"/>
        </w:rPr>
      </w:pPr>
      <w:r>
        <w:rPr>
          <w:rFonts w:hint="eastAsia" w:ascii="微软雅黑" w:hAnsi="微软雅黑" w:eastAsia="微软雅黑" w:cs="微软雅黑"/>
        </w:rPr>
        <w:t>招募 12 名与核心用户相近的成年人，分别完成手动建计划和照片辅助建计划，任务顺序交叉以降低学习效应。每人完成一份明确处方和一份有分人群及按需条件的说明书任务。记录从开始到确认的时间、返回修改次数、放弃点、最终计划与材料的差异，以及能否解释“开盒不等于服药”“最多次数不等于应服次数”。</w:t>
      </w:r>
    </w:p>
    <w:p w14:paraId="43410D03">
      <w:pPr>
        <w:pStyle w:val="4"/>
        <w:rPr>
          <w:rFonts w:hint="eastAsia" w:ascii="微软雅黑" w:hAnsi="微软雅黑" w:eastAsia="微软雅黑" w:cs="微软雅黑"/>
        </w:rPr>
      </w:pPr>
      <w:r>
        <w:rPr>
          <w:rFonts w:hint="eastAsia" w:ascii="微软雅黑" w:hAnsi="微软雅黑" w:eastAsia="微软雅黑" w:cs="微软雅黑"/>
        </w:rPr>
        <w:t>错误注入与安全观察</w:t>
      </w:r>
    </w:p>
    <w:p w14:paraId="2CAD830A">
      <w:pPr>
        <w:widowControl/>
        <w:rPr>
          <w:rFonts w:hint="eastAsia" w:ascii="微软雅黑" w:hAnsi="微软雅黑" w:eastAsia="微软雅黑" w:cs="微软雅黑"/>
        </w:rPr>
      </w:pPr>
      <w:r>
        <w:rPr>
          <w:rFonts w:hint="eastAsia" w:ascii="微软雅黑" w:hAnsi="微软雅黑" w:eastAsia="微软雅黑" w:cs="微软雅黑"/>
        </w:rPr>
        <w:t>在专门的模拟样本中注入识别错字、缺失剂量、错误年龄段或伪造的固定时刻，观察参与者是否能借助原文对照发现并纠正。任何真实身份信息、病史或处方都不得在未授权的测试环境上传；参与者任务使用模拟材料或经明确授权的去标识化材料。</w:t>
      </w:r>
    </w:p>
    <w:p w14:paraId="561DC054">
      <w:pPr>
        <w:pStyle w:val="3"/>
        <w:rPr>
          <w:rFonts w:hint="eastAsia" w:ascii="微软雅黑" w:hAnsi="微软雅黑" w:eastAsia="微软雅黑" w:cs="微软雅黑"/>
        </w:rPr>
      </w:pPr>
      <w:r>
        <w:rPr>
          <w:rFonts w:hint="eastAsia" w:ascii="微软雅黑" w:hAnsi="微软雅黑" w:eastAsia="微软雅黑" w:cs="微软雅黑"/>
        </w:rPr>
        <w:t>四 判断是否真正有效的指标</w:t>
      </w:r>
    </w:p>
    <w:tbl>
      <w:tblPr>
        <w:tblStyle w:val="32"/>
        <w:tblW w:w="0" w:type="auto"/>
        <w:jc w:val="center"/>
        <w:tblLayout w:type="fixed"/>
        <w:tblCellMar>
          <w:top w:w="0" w:type="dxa"/>
          <w:left w:w="108" w:type="dxa"/>
          <w:bottom w:w="0" w:type="dxa"/>
          <w:right w:w="108" w:type="dxa"/>
        </w:tblCellMar>
      </w:tblPr>
      <w:tblGrid>
        <w:gridCol w:w="1247"/>
        <w:gridCol w:w="4535"/>
        <w:gridCol w:w="3572"/>
      </w:tblGrid>
      <w:tr w14:paraId="6A0C8856">
        <w:tblPrEx>
          <w:tblCellMar>
            <w:top w:w="0" w:type="dxa"/>
            <w:left w:w="108" w:type="dxa"/>
            <w:bottom w:w="0" w:type="dxa"/>
            <w:right w:w="108" w:type="dxa"/>
          </w:tblCellMar>
        </w:tblPrEx>
        <w:trPr>
          <w:cantSplit/>
          <w:tblHeader/>
          <w:jc w:val="center"/>
        </w:trPr>
        <w:tc>
          <w:tcPr>
            <w:tcW w:w="1247"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5746D849">
            <w:pPr>
              <w:spacing w:after="0"/>
              <w:rPr>
                <w:rFonts w:hint="eastAsia" w:ascii="微软雅黑" w:hAnsi="微软雅黑" w:eastAsia="微软雅黑" w:cs="微软雅黑"/>
              </w:rPr>
            </w:pPr>
            <w:r>
              <w:rPr>
                <w:rFonts w:hint="eastAsia" w:ascii="微软雅黑" w:hAnsi="微软雅黑" w:eastAsia="微软雅黑" w:cs="微软雅黑"/>
                <w:b/>
                <w:color w:val="000000"/>
                <w:sz w:val="19"/>
              </w:rPr>
              <w:t>维度</w:t>
            </w:r>
          </w:p>
        </w:tc>
        <w:tc>
          <w:tcPr>
            <w:tcW w:w="4535"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7705C9C">
            <w:pPr>
              <w:spacing w:after="0"/>
              <w:rPr>
                <w:rFonts w:hint="eastAsia" w:ascii="微软雅黑" w:hAnsi="微软雅黑" w:eastAsia="微软雅黑" w:cs="微软雅黑"/>
              </w:rPr>
            </w:pPr>
            <w:r>
              <w:rPr>
                <w:rFonts w:hint="eastAsia" w:ascii="微软雅黑" w:hAnsi="微软雅黑" w:eastAsia="微软雅黑" w:cs="微软雅黑"/>
                <w:b/>
                <w:color w:val="000000"/>
                <w:sz w:val="19"/>
              </w:rPr>
              <w:t>建议观察指标</w:t>
            </w:r>
          </w:p>
        </w:tc>
        <w:tc>
          <w:tcPr>
            <w:tcW w:w="357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2282BC00">
            <w:pPr>
              <w:spacing w:after="0"/>
              <w:rPr>
                <w:rFonts w:hint="eastAsia" w:ascii="微软雅黑" w:hAnsi="微软雅黑" w:eastAsia="微软雅黑" w:cs="微软雅黑"/>
              </w:rPr>
            </w:pPr>
            <w:r>
              <w:rPr>
                <w:rFonts w:hint="eastAsia" w:ascii="微软雅黑" w:hAnsi="微软雅黑" w:eastAsia="微软雅黑" w:cs="微软雅黑"/>
                <w:b/>
                <w:color w:val="000000"/>
                <w:sz w:val="19"/>
              </w:rPr>
              <w:t>首轮继续条件</w:t>
            </w:r>
          </w:p>
        </w:tc>
      </w:tr>
      <w:tr w14:paraId="64FEFFF0">
        <w:tblPrEx>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5A5365B9">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效率</w:t>
            </w:r>
          </w:p>
        </w:tc>
        <w:tc>
          <w:tcPr>
            <w:tcW w:w="4535"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130D3329">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从材料进入到确认草稿的中位时长；对比纯手动</w:t>
            </w:r>
          </w:p>
        </w:tc>
        <w:tc>
          <w:tcPr>
            <w:tcW w:w="357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56CD244">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辅助流程中位时长至少缩短 30%，并记录方差和失败样本</w:t>
            </w:r>
          </w:p>
        </w:tc>
      </w:tr>
      <w:tr w14:paraId="210372AC">
        <w:tblPrEx>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594C2676">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字段准确</w:t>
            </w:r>
          </w:p>
        </w:tc>
        <w:tc>
          <w:tcPr>
            <w:tcW w:w="4535"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2BA2ACE2">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药名、剂量、单位、人群、时刻、限制条件与审核基准一致率</w:t>
            </w:r>
          </w:p>
        </w:tc>
        <w:tc>
          <w:tcPr>
            <w:tcW w:w="357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09B0E163">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关键字段逐项正确率至少 95%；不把缺失字段补成确定值</w:t>
            </w:r>
          </w:p>
        </w:tc>
      </w:tr>
      <w:tr w14:paraId="43147AD0">
        <w:tblPrEx>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41B4052">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安全边界</w:t>
            </w:r>
          </w:p>
        </w:tc>
        <w:tc>
          <w:tcPr>
            <w:tcW w:w="4535"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BD7EF02">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错误剂量、虚构时刻、把按需上限变成固定任务的次数</w:t>
            </w:r>
          </w:p>
        </w:tc>
        <w:tc>
          <w:tcPr>
            <w:tcW w:w="357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0288F543">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首轮 30 份材料中此类高风险错误为 0；仍不能据此宣称临床安全</w:t>
            </w:r>
          </w:p>
        </w:tc>
      </w:tr>
      <w:tr w14:paraId="4FEE9B00">
        <w:tblPrEx>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044B84A1">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用户理解</w:t>
            </w:r>
          </w:p>
        </w:tc>
        <w:tc>
          <w:tcPr>
            <w:tcW w:w="4535"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59884399">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能否正确复述计划类型、限制与状态含义</w:t>
            </w:r>
          </w:p>
        </w:tc>
        <w:tc>
          <w:tcPr>
            <w:tcW w:w="357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2C4F4498">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至少 10/12 人理解关键区别，误解案例逐条分析</w:t>
            </w:r>
          </w:p>
        </w:tc>
      </w:tr>
      <w:tr w14:paraId="001987F1">
        <w:tblPrEx>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107FDC75">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可用性</w:t>
            </w:r>
          </w:p>
        </w:tc>
        <w:tc>
          <w:tcPr>
            <w:tcW w:w="4535"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1D28386B">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独立完成率、核对错误发现率、放弃点与主观信任</w:t>
            </w:r>
          </w:p>
        </w:tc>
        <w:tc>
          <w:tcPr>
            <w:tcW w:w="3572"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000E03AF">
            <w:pPr>
              <w:spacing w:after="0" w:line="276" w:lineRule="auto"/>
              <w:rPr>
                <w:rFonts w:hint="eastAsia" w:ascii="微软雅黑" w:hAnsi="微软雅黑" w:eastAsia="微软雅黑" w:cs="微软雅黑"/>
              </w:rPr>
            </w:pPr>
            <w:r>
              <w:rPr>
                <w:rFonts w:hint="eastAsia" w:ascii="微软雅黑" w:hAnsi="微软雅黑" w:eastAsia="微软雅黑" w:cs="微软雅黑"/>
                <w:color w:val="000000"/>
                <w:sz w:val="18"/>
              </w:rPr>
              <w:t>至少 10/12 人完成；错误注入检出率作为迭代门槛</w:t>
            </w:r>
          </w:p>
        </w:tc>
      </w:tr>
    </w:tbl>
    <w:p w14:paraId="4830431C">
      <w:pPr>
        <w:spacing w:after="20"/>
        <w:rPr>
          <w:rFonts w:hint="eastAsia" w:ascii="微软雅黑" w:hAnsi="微软雅黑" w:eastAsia="微软雅黑" w:cs="微软雅黑"/>
        </w:rPr>
      </w:pPr>
    </w:p>
    <w:p w14:paraId="4D5DF8D8">
      <w:pPr>
        <w:widowControl/>
        <w:rPr>
          <w:rFonts w:hint="eastAsia" w:ascii="微软雅黑" w:hAnsi="微软雅黑" w:eastAsia="微软雅黑" w:cs="微软雅黑"/>
        </w:rPr>
      </w:pPr>
      <w:r>
        <w:rPr>
          <w:rFonts w:hint="eastAsia" w:ascii="微软雅黑" w:hAnsi="微软雅黑" w:eastAsia="微软雅黑" w:cs="微软雅黑"/>
        </w:rPr>
        <w:t>上述阈值是下一轮试验的决策标准，不是当前已达到的结果。样本量只能用于发现明显问题；医疗风险较高的功能还需更大规模、更严格的专业评估。</w:t>
      </w:r>
    </w:p>
    <w:p w14:paraId="779FFC54">
      <w:pPr>
        <w:pStyle w:val="3"/>
        <w:rPr>
          <w:rFonts w:hint="eastAsia" w:ascii="微软雅黑" w:hAnsi="微软雅黑" w:eastAsia="微软雅黑" w:cs="微软雅黑"/>
        </w:rPr>
      </w:pPr>
      <w:r>
        <w:rPr>
          <w:rFonts w:hint="eastAsia" w:ascii="微软雅黑" w:hAnsi="微软雅黑" w:eastAsia="微软雅黑" w:cs="微软雅黑"/>
        </w:rPr>
        <w:t>五 智能能力的专项验证</w:t>
      </w:r>
    </w:p>
    <w:p w14:paraId="630997F5">
      <w:pPr>
        <w:pStyle w:val="4"/>
        <w:rPr>
          <w:rFonts w:hint="eastAsia" w:ascii="微软雅黑" w:hAnsi="微软雅黑" w:eastAsia="微软雅黑" w:cs="微软雅黑"/>
        </w:rPr>
      </w:pPr>
      <w:r>
        <w:rPr>
          <w:rFonts w:hint="eastAsia" w:ascii="微软雅黑" w:hAnsi="微软雅黑" w:eastAsia="微软雅黑" w:cs="微软雅黑"/>
        </w:rPr>
        <w:t>说明书与处方提取</w:t>
      </w:r>
    </w:p>
    <w:p w14:paraId="3B6E3639">
      <w:pPr>
        <w:widowControl/>
        <w:rPr>
          <w:rFonts w:hint="eastAsia" w:ascii="微软雅黑" w:hAnsi="微软雅黑" w:eastAsia="微软雅黑" w:cs="微软雅黑"/>
        </w:rPr>
      </w:pPr>
      <w:r>
        <w:rPr>
          <w:rFonts w:hint="eastAsia" w:ascii="微软雅黑" w:hAnsi="微软雅黑" w:eastAsia="微软雅黑" w:cs="微软雅黑"/>
        </w:rPr>
        <w:t>对每份材料分别检查识别文字、结构化字段和最终用户确认结果。记录 OCR 错误、模型无依据补全、服务超时、文档类型误判、原文引用错误及用户纠错行为。保留“原始材料 → 识别文字 → 结构化草稿 → 用户最终选择”的完整测试链条，便于归因。</w:t>
      </w:r>
    </w:p>
    <w:p w14:paraId="48F98590">
      <w:pPr>
        <w:pStyle w:val="4"/>
        <w:rPr>
          <w:rFonts w:hint="eastAsia" w:ascii="微软雅黑" w:hAnsi="微软雅黑" w:eastAsia="微软雅黑" w:cs="微软雅黑"/>
        </w:rPr>
      </w:pPr>
      <w:r>
        <w:rPr>
          <w:rFonts w:hint="eastAsia" w:ascii="微软雅黑" w:hAnsi="微软雅黑" w:eastAsia="微软雅黑" w:cs="微软雅黑"/>
        </w:rPr>
        <w:t>用药助手</w:t>
      </w:r>
    </w:p>
    <w:p w14:paraId="4A52534A">
      <w:pPr>
        <w:widowControl/>
        <w:rPr>
          <w:rFonts w:hint="eastAsia" w:ascii="微软雅黑" w:hAnsi="微软雅黑" w:eastAsia="微软雅黑" w:cs="微软雅黑"/>
        </w:rPr>
      </w:pPr>
      <w:r>
        <w:rPr>
          <w:rFonts w:hint="eastAsia" w:ascii="微软雅黑" w:hAnsi="微软雅黑" w:eastAsia="微软雅黑" w:cs="微软雅黑"/>
        </w:rPr>
        <w:t>准备不少于 60 道模拟问题，分为计划查询、已覆盖资料、说明书原文、无对应来源、个人调整、相互作用疑问和紧急症状。药学审核者逐题标注可回答范围；测量有依据回答率、引用匹配率、无依据时拒答率和高风险问题误答数。特别检查助手是否将说明书通用用法说成针对个人的指令。</w:t>
      </w:r>
    </w:p>
    <w:p w14:paraId="058765FA">
      <w:pPr>
        <w:pStyle w:val="4"/>
        <w:rPr>
          <w:rFonts w:hint="eastAsia" w:ascii="微软雅黑" w:hAnsi="微软雅黑" w:eastAsia="微软雅黑" w:cs="微软雅黑"/>
        </w:rPr>
      </w:pPr>
      <w:r>
        <w:rPr>
          <w:rFonts w:hint="eastAsia" w:ascii="微软雅黑" w:hAnsi="微软雅黑" w:eastAsia="微软雅黑" w:cs="微软雅黑"/>
        </w:rPr>
        <w:t>性能与容错</w:t>
      </w:r>
    </w:p>
    <w:p w14:paraId="706E8FC6">
      <w:pPr>
        <w:widowControl/>
        <w:rPr>
          <w:rFonts w:hint="eastAsia" w:ascii="微软雅黑" w:hAnsi="微软雅黑" w:eastAsia="微软雅黑" w:cs="微软雅黑"/>
        </w:rPr>
      </w:pPr>
      <w:r>
        <w:rPr>
          <w:rFonts w:hint="eastAsia" w:ascii="微软雅黑" w:hAnsi="微软雅黑" w:eastAsia="微软雅黑" w:cs="微软雅黑"/>
        </w:rPr>
        <w:t>在常见手机网络条件下记录照片选择到草稿出现的等待时间、失败率和重试成功率。若识别失败，页面应保留可核对文字并说明原因；模型不可用时，手动计划与历史记录仍能使用。不同端口、旧标签页和缓存条件也应纳入回归测试。</w:t>
      </w:r>
    </w:p>
    <w:p w14:paraId="2F7394F6">
      <w:pPr>
        <w:pStyle w:val="3"/>
        <w:rPr>
          <w:rFonts w:hint="eastAsia" w:ascii="微软雅黑" w:hAnsi="微软雅黑" w:eastAsia="微软雅黑" w:cs="微软雅黑"/>
        </w:rPr>
      </w:pPr>
      <w:r>
        <w:rPr>
          <w:rFonts w:hint="eastAsia" w:ascii="微软雅黑" w:hAnsi="微软雅黑" w:eastAsia="微软雅黑" w:cs="微软雅黑"/>
        </w:rPr>
        <w:t>六 本轮复盘</w:t>
      </w:r>
    </w:p>
    <w:p w14:paraId="1C602B35">
      <w:pPr>
        <w:widowControl/>
        <w:rPr>
          <w:rFonts w:hint="eastAsia" w:ascii="微软雅黑" w:hAnsi="微软雅黑" w:eastAsia="微软雅黑" w:cs="微软雅黑"/>
        </w:rPr>
      </w:pPr>
      <w:r>
        <w:rPr>
          <w:rFonts w:hint="eastAsia" w:ascii="微软雅黑" w:hAnsi="微软雅黑" w:eastAsia="微软雅黑" w:cs="微软雅黑"/>
        </w:rPr>
        <w:t>原型的主要进展是把“识别出一份说明书”推进到“自动填写可核对的草稿”。布洛芬颗粒样本说明，年龄分组、单次用量、按需条件和次数上限可以被结构化呈现，同时保留用户选择人群与用途的最后控制权。将开盒与确认服用分开，也是避免虚假完成记录的必要设计。</w:t>
      </w:r>
    </w:p>
    <w:p w14:paraId="253CBCD5">
      <w:pPr>
        <w:widowControl/>
        <w:rPr>
          <w:rFonts w:hint="eastAsia" w:ascii="微软雅黑" w:hAnsi="微软雅黑" w:eastAsia="微软雅黑" w:cs="微软雅黑"/>
        </w:rPr>
      </w:pPr>
      <w:r>
        <w:rPr>
          <w:rFonts w:hint="eastAsia" w:ascii="微软雅黑" w:hAnsi="微软雅黑" w:eastAsia="微软雅黑" w:cs="微软雅黑"/>
        </w:rPr>
        <w:t>已暴露的问题是链路和版本管理容易影响感知效果：早期页面识别成功后停在文字结果，需要第二次提取；随后浏览器缓存旧脚本，让已修复的流程在用户端看起来仍未生效。当前版本已把选择照片接到自动填草稿，并为脚本设置版本号；后续应将页面版本、服务版本与端到端回归纳入发布检查。</w:t>
      </w:r>
    </w:p>
    <w:p w14:paraId="2785E844">
      <w:pPr>
        <w:widowControl/>
        <w:rPr>
          <w:rFonts w:hint="eastAsia" w:ascii="微软雅黑" w:hAnsi="微软雅黑" w:eastAsia="微软雅黑" w:cs="微软雅黑"/>
        </w:rPr>
      </w:pPr>
      <w:r>
        <w:rPr>
          <w:rFonts w:hint="eastAsia" w:ascii="微软雅黑" w:hAnsi="微软雅黑" w:eastAsia="微软雅黑" w:cs="微软雅黑"/>
        </w:rPr>
        <w:t>尚未解决的风险包括：更多说明书版式的识别稳定性、复杂人群条件的歧义、专业知识覆盖有限、用户是否认真核对、浏览器关闭后的提醒可靠性，以及没有实体药盒时开盒事件只能手动记录。现阶段不应把原型描述为已经验证的医疗产品。</w:t>
      </w:r>
    </w:p>
    <w:p w14:paraId="452737A6">
      <w:pPr>
        <w:pStyle w:val="3"/>
        <w:rPr>
          <w:rFonts w:hint="eastAsia" w:ascii="微软雅黑" w:hAnsi="微软雅黑" w:eastAsia="微软雅黑" w:cs="微软雅黑"/>
        </w:rPr>
      </w:pPr>
      <w:r>
        <w:rPr>
          <w:rFonts w:hint="eastAsia" w:ascii="微软雅黑" w:hAnsi="微软雅黑" w:eastAsia="微软雅黑" w:cs="微软雅黑"/>
        </w:rPr>
        <w:t>七 如果继续扩展项目</w:t>
      </w:r>
    </w:p>
    <w:p w14:paraId="3D9D5E99">
      <w:pPr>
        <w:pStyle w:val="4"/>
        <w:rPr>
          <w:rFonts w:hint="eastAsia" w:ascii="微软雅黑" w:hAnsi="微软雅黑" w:eastAsia="微软雅黑" w:cs="微软雅黑"/>
        </w:rPr>
      </w:pPr>
      <w:r>
        <w:rPr>
          <w:rFonts w:hint="eastAsia" w:ascii="微软雅黑" w:hAnsi="微软雅黑" w:eastAsia="微软雅黑" w:cs="微软雅黑"/>
        </w:rPr>
        <w:t>优先级一 多材料交叉核对</w:t>
      </w:r>
    </w:p>
    <w:p w14:paraId="52BFFA3F">
      <w:pPr>
        <w:widowControl/>
        <w:rPr>
          <w:rFonts w:hint="eastAsia" w:ascii="微软雅黑" w:hAnsi="微软雅黑" w:eastAsia="微软雅黑" w:cs="微软雅黑"/>
        </w:rPr>
      </w:pPr>
      <w:r>
        <w:rPr>
          <w:rFonts w:hint="eastAsia" w:ascii="微软雅黑" w:hAnsi="微软雅黑" w:eastAsia="微软雅黑" w:cs="微软雅黑"/>
        </w:rPr>
        <w:t>把处方、药袋、说明书和用户当前计划放在同一证据链中，标出药名不一致、剂量冲突、重复成分或缺少时刻等可核对疑点，并引导用户向药师确认。系统只呈现差异与出处，不自动决定停药、换药或改剂量。这一方向比单纯增加聊天轮次更能发挥模型在非结构化材料比对上的价值。</w:t>
      </w:r>
    </w:p>
    <w:p w14:paraId="372C8DF8">
      <w:pPr>
        <w:pStyle w:val="4"/>
        <w:rPr>
          <w:rFonts w:hint="eastAsia" w:ascii="微软雅黑" w:hAnsi="微软雅黑" w:eastAsia="微软雅黑" w:cs="微软雅黑"/>
        </w:rPr>
      </w:pPr>
      <w:r>
        <w:rPr>
          <w:rFonts w:hint="eastAsia" w:ascii="微软雅黑" w:hAnsi="微软雅黑" w:eastAsia="微软雅黑" w:cs="微软雅黑"/>
        </w:rPr>
        <w:t>优先级二 真实使用闭环</w:t>
      </w:r>
    </w:p>
    <w:p w14:paraId="4F0BD36E">
      <w:pPr>
        <w:widowControl/>
        <w:rPr>
          <w:rFonts w:hint="eastAsia" w:ascii="微软雅黑" w:hAnsi="微软雅黑" w:eastAsia="微软雅黑" w:cs="微软雅黑"/>
        </w:rPr>
      </w:pPr>
      <w:r>
        <w:rPr>
          <w:rFonts w:hint="eastAsia" w:ascii="微软雅黑" w:hAnsi="微软雅黑" w:eastAsia="微软雅黑" w:cs="微软雅黑"/>
        </w:rPr>
        <w:t>在明确授权下记录实际使用时间、是否漏服与症状变化，提供回顾视图，帮助用户向专业人员准确描述经历。只有在安全边界和隐私方案充分验证后，才探索更主动的提醒；按需药仍不应自动催服。</w:t>
      </w:r>
    </w:p>
    <w:p w14:paraId="12A76AB1">
      <w:pPr>
        <w:pStyle w:val="4"/>
        <w:rPr>
          <w:rFonts w:hint="eastAsia" w:ascii="微软雅黑" w:hAnsi="微软雅黑" w:eastAsia="微软雅黑" w:cs="微软雅黑"/>
        </w:rPr>
      </w:pPr>
      <w:r>
        <w:rPr>
          <w:rFonts w:hint="eastAsia" w:ascii="微软雅黑" w:hAnsi="微软雅黑" w:eastAsia="微软雅黑" w:cs="微软雅黑"/>
        </w:rPr>
        <w:t>优先级三 实体药盒与照护协作</w:t>
      </w:r>
    </w:p>
    <w:p w14:paraId="323C73F2">
      <w:pPr>
        <w:widowControl/>
        <w:rPr>
          <w:rFonts w:hint="eastAsia" w:ascii="微软雅黑" w:hAnsi="微软雅黑" w:eastAsia="微软雅黑" w:cs="微软雅黑"/>
        </w:rPr>
      </w:pPr>
      <w:r>
        <w:rPr>
          <w:rFonts w:hint="eastAsia" w:ascii="微软雅黑" w:hAnsi="微软雅黑" w:eastAsia="微软雅黑" w:cs="微软雅黑"/>
        </w:rPr>
        <w:t>接入真实药格和开盖事件，验证硬件误触、离线和多人共用场景。开盖仍只能证明盒盖打开，不能自动证明服药。照护者共享、云同步与后台通知应作为独立阶段，先完成权限、身份和数据安全设计。</w:t>
      </w:r>
    </w:p>
    <w:p w14:paraId="6287C094">
      <w:pPr>
        <w:pStyle w:val="3"/>
        <w:rPr>
          <w:rFonts w:hint="eastAsia" w:ascii="微软雅黑" w:hAnsi="微软雅黑" w:eastAsia="微软雅黑" w:cs="微软雅黑"/>
        </w:rPr>
      </w:pPr>
      <w:r>
        <w:rPr>
          <w:rFonts w:hint="eastAsia" w:ascii="微软雅黑" w:hAnsi="微软雅黑" w:eastAsia="微软雅黑" w:cs="微软雅黑"/>
        </w:rPr>
        <w:t>八 工具与投入记录</w:t>
      </w:r>
    </w:p>
    <w:p w14:paraId="4F577D96">
      <w:pPr>
        <w:widowControl/>
        <w:rPr>
          <w:rFonts w:hint="eastAsia" w:ascii="微软雅黑" w:hAnsi="微软雅黑" w:eastAsia="微软雅黑" w:cs="微软雅黑"/>
        </w:rPr>
      </w:pPr>
      <w:r>
        <w:rPr>
          <w:rFonts w:hint="eastAsia" w:ascii="微软雅黑" w:hAnsi="微软雅黑" w:eastAsia="微软雅黑" w:cs="微软雅黑"/>
        </w:rPr>
        <w:t>本阶段使用 Codex 辅助需求梳理、网页与 Python 服务实现、说明书样本测试、自动化检查和文档整理；集中制作与验证用时约 2 小时。该时间记录描述原型制作投入，不代表真实用户研究或医疗安全验证已经完成。</w:t>
      </w:r>
    </w:p>
    <w:sectPr>
      <w:pgSz w:w="11906" w:h="16838"/>
      <w:pgMar w:top="1049" w:right="1276" w:bottom="1049"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85F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3" w:lineRule="auto"/>
    </w:pPr>
    <w:rPr>
      <w:rFonts w:ascii="微软雅黑" w:hAnsi="微软雅黑" w:eastAsia="微软雅黑" w:cs="微软雅黑"/>
      <w:color w:val="000000"/>
      <w:sz w:val="20"/>
      <w:szCs w:val="22"/>
      <w:lang w:val="en-US" w:eastAsia="en-US" w:bidi="ar-SA"/>
    </w:rPr>
  </w:style>
  <w:style w:type="paragraph" w:styleId="3">
    <w:name w:val="heading 1"/>
    <w:basedOn w:val="1"/>
    <w:next w:val="1"/>
    <w:link w:val="138"/>
    <w:qFormat/>
    <w:uiPriority w:val="9"/>
    <w:pPr>
      <w:keepNext/>
      <w:keepLines/>
      <w:spacing w:before="220" w:after="80"/>
      <w:outlineLvl w:val="0"/>
    </w:pPr>
    <w:rPr>
      <w:rFonts w:asciiTheme="majorHAnsi" w:hAnsiTheme="majorHAnsi" w:eastAsiaTheme="majorEastAsia" w:cstheme="majorBidi"/>
      <w:b/>
      <w:bCs/>
      <w:color w:val="000000"/>
      <w:sz w:val="25"/>
      <w:szCs w:val="28"/>
    </w:rPr>
  </w:style>
  <w:style w:type="paragraph" w:styleId="4">
    <w:name w:val="heading 2"/>
    <w:basedOn w:val="1"/>
    <w:next w:val="1"/>
    <w:link w:val="139"/>
    <w:unhideWhenUsed/>
    <w:qFormat/>
    <w:uiPriority w:val="9"/>
    <w:pPr>
      <w:keepNext/>
      <w:keepLines/>
      <w:spacing w:before="120" w:after="40"/>
      <w:outlineLvl w:val="1"/>
    </w:pPr>
    <w:rPr>
      <w:rFonts w:asciiTheme="majorHAnsi" w:hAnsiTheme="majorHAnsi" w:eastAsiaTheme="majorEastAsia" w:cstheme="majorBidi"/>
      <w:b/>
      <w:bCs/>
      <w:color w:val="000000"/>
      <w:sz w:val="21"/>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40"/>
      <w:ind w:left="369" w:hanging="142"/>
      <w:contextualSpacing/>
    </w:pPr>
    <w:rPr>
      <w:rFonts w:ascii="微软雅黑" w:hAnsi="微软雅黑" w:eastAsia="微软雅黑" w:cs="微软雅黑"/>
      <w:color w:val="000000"/>
      <w:sz w:val="20"/>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after="220"/>
    </w:pPr>
    <w:rPr>
      <w:rFonts w:asciiTheme="majorHAnsi" w:hAnsiTheme="majorHAnsi" w:eastAsiaTheme="majorEastAsia" w:cstheme="majorBidi"/>
      <w:iCs/>
      <w:color w:val="000000"/>
      <w:spacing w:val="15"/>
      <w:sz w:val="19"/>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spacing w:after="16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2590</Words>
  <Characters>2637</Characters>
  <Lines>0</Lines>
  <Paragraphs>0</Paragraphs>
  <TotalTime>1</TotalTime>
  <ScaleCrop>false</ScaleCrop>
  <LinksUpToDate>false</LinksUpToDate>
  <CharactersWithSpaces>2696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智能药盒项目</dc:creator>
  <dc:description>generated by python-docx</dc:description>
  <cp:lastModifiedBy>刘申学霸</cp:lastModifiedBy>
  <dcterms:modified xsi:type="dcterms:W3CDTF">2026-10-11T07:10:12Z</dcterms:modified>
  <dc:subject>智能药盒产品文档</dc:subject>
  <dc:title>智能药盒验证与复盘</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eyJoZGlkIjoiMTQxOWIzOWE0MTRiY2VmYzgxOTVkYWZmMWQ5MTExY2UiLCJ1c2VySWQiOiI0NTE5MzA5NzcifQ==</vt:lpwstr>
  </property>
  <property fmtid="{D5CDD505-2E9C-101B-9397-08002B2CF9AE}" pid="3" name="KSOProductBuildVer">
    <vt:lpwstr>2052-12.1.0.28505</vt:lpwstr>
  </property>
  <property fmtid="{D5CDD505-2E9C-101B-9397-08002B2CF9AE}" pid="4" name="ICV">
    <vt:lpwstr>ED0FFFCD4AF8441FA59D1083B5441332_12</vt:lpwstr>
  </property>
</Properties>
</file>