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0" w:before="200"/>
      </w:pPr>
    </w:p>
    <w:p>
      <w:pPr>
        <w:spacing w:after="60" w:before="0"/>
        <w:jc w:val="center"/>
      </w:pPr>
      <w:r>
        <w:rPr>
          <w:rFonts w:ascii="Arial" w:cs="Arial" w:eastAsia="Arial" w:hAnsi="Arial"/>
          <w:b/>
          <w:bCs/>
          <w:color w:val="1B4F72"/>
          <w:sz w:val="52"/>
          <w:szCs w:val="52"/>
        </w:rPr>
        <w:t xml:space="preserve">PEAK FETTLE</w:t>
      </w:r>
    </w:p>
    <w:p>
      <w:pPr>
        <w:spacing w:after="60" w:before="0"/>
        <w:jc w:val="center"/>
      </w:pPr>
      <w:r>
        <w:rPr>
          <w:rFonts w:ascii="Arial" w:cs="Arial" w:eastAsia="Arial" w:hAnsi="Arial"/>
          <w:b/>
          <w:bCs/>
          <w:color w:val="2E86C1"/>
          <w:sz w:val="36"/>
          <w:szCs w:val="36"/>
        </w:rPr>
        <w:t xml:space="preserve">$800 Launch Budget Allocation</w:t>
      </w:r>
    </w:p>
    <w:p>
      <w:pPr>
        <w:spacing w:after="200" w:before="0"/>
        <w:jc w:val="center"/>
      </w:pPr>
      <w:r>
        <w:rPr>
          <w:rFonts w:ascii="Arial" w:cs="Arial" w:eastAsia="Arial" w:hAnsi="Arial"/>
          <w:i/>
          <w:iCs/>
          <w:color w:val="888888"/>
          <w:sz w:val="20"/>
          <w:szCs w:val="20"/>
        </w:rPr>
        <w:t xml:space="preserve">Executive Report  |  Multi-Team Collaboration  |  Steel-Manned  |  April 30, 2026</w:t>
      </w:r>
    </w:p>
    <w:p>
      <w:pPr>
        <w:pBdr>
          <w:bottom w:val="single" w:color="1B4F72" w:sz="6" w:space="1"/>
        </w:pBdr>
        <w:spacing w:after="160" w:before="160"/>
      </w:pPr>
    </w:p>
    <w:p>
      <w:pPr>
        <w:spacing w:after="0" w:before="160"/>
      </w:pPr>
    </w:p>
    <w:p>
      <w:pPr>
        <w:pStyle w:val="Heading1"/>
      </w:pPr>
      <w:r>
        <w:rPr>
          <w:rFonts w:ascii="Arial" w:cs="Arial" w:eastAsia="Arial" w:hAnsi="Arial"/>
          <w:b/>
          <w:bCs/>
          <w:color w:val="1B4F72"/>
          <w:sz w:val="32"/>
          <w:szCs w:val="32"/>
        </w:rPr>
        <w:t xml:space="preserve">Executive Summary</w:t>
      </w:r>
    </w:p>
    <w:p>
      <w:pPr>
        <w:spacing w:after="80" w:before="80"/>
        <w:jc w:val="left"/>
      </w:pPr>
      <w:r>
        <w:rPr>
          <w:rFonts w:ascii="Arial" w:cs="Arial" w:eastAsia="Arial" w:hAnsi="Arial"/>
          <w:b w:val="false"/>
          <w:bCs w:val="false"/>
          <w:i w:val="false"/>
          <w:iCs w:val="false"/>
          <w:color w:val="222222"/>
          <w:sz w:val="22"/>
          <w:szCs w:val="22"/>
        </w:rPr>
        <w:t xml:space="preserve">This report allocates Peak Fettle's $800 launch budget across every material cost category, incorporating direct input from the Development, Marketing, and Testing teams. Every allocation decision is steel-manned — the strongest possible argument against each choice is documented before the recommendation is confirmed. No dollar is assigned by default; each is earned by defeating its best counter-argument.</w:t>
      </w:r>
    </w:p>
    <w:p>
      <w:pPr>
        <w:spacing w:after="0" w:before="80"/>
      </w:pPr>
    </w:p>
    <w:p>
      <w:pPr>
        <w:spacing w:after="80" w:before="80"/>
        <w:jc w:val="left"/>
      </w:pPr>
      <w:r>
        <w:rPr>
          <w:rFonts w:ascii="Arial" w:cs="Arial" w:eastAsia="Arial" w:hAnsi="Arial"/>
          <w:b w:val="false"/>
          <w:bCs w:val="false"/>
          <w:i w:val="false"/>
          <w:iCs w:val="false"/>
          <w:color w:val="222222"/>
          <w:sz w:val="22"/>
          <w:szCs w:val="22"/>
        </w:rPr>
        <w:t xml:space="preserve">The $800 constraint is tight but sufficient for a full three-platform launch (iOS, Android, Windows) with meaningful marketing signal-gathering. It is not a comfortable growth budget — but it is a viable proof-of-concept budget that sets up the next investment phase correctly. If the client base grows to the scale where these decisions become rounding errors, the investment amount is explicitly designed to be revisited: triggers and thresholds are defined in Section 5.</w:t>
      </w:r>
    </w:p>
    <w:p>
      <w:pPr>
        <w:spacing w:after="0" w:before="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40"/>
        <w:gridCol w:w="2340"/>
        <w:gridCol w:w="2340"/>
        <w:gridCol w:w="2340"/>
      </w:tblGrid>
      <w:tr>
        <w:tc>
          <w:tcPr>
            <w:tcW w:type="dxa" w:w="2340"/>
            <w:tcBorders>
              <w:top w:val="none" w:color="FFFFFF" w:sz="0"/>
              <w:left w:val="none" w:color="FFFFFF" w:sz="0"/>
              <w:bottom w:val="none" w:color="FFFFFF" w:sz="0"/>
              <w:right w:val="none" w:color="FFFFFF" w:sz="0"/>
            </w:tcBorders>
            <w:shd w:fill="1B4F72" w:val="clear"/>
            <w:tcMar>
              <w:top w:type="dxa" w:w="160"/>
              <w:left w:type="dxa" w:w="160"/>
              <w:bottom w:type="dxa" w:w="160"/>
              <w:right w:type="dxa" w:w="80"/>
            </w:tcMar>
          </w:tcPr>
          <w:p>
            <w:pPr>
              <w:jc w:val="center"/>
            </w:pPr>
            <w:r>
              <w:rPr>
                <w:rFonts w:ascii="Arial" w:cs="Arial" w:eastAsia="Arial" w:hAnsi="Arial"/>
                <w:b/>
                <w:bCs/>
                <w:color w:val="FFFFFF"/>
                <w:sz w:val="40"/>
                <w:szCs w:val="40"/>
              </w:rPr>
              <w:t xml:space="preserve">$193</w:t>
            </w:r>
          </w:p>
          <w:p>
            <w:pPr>
              <w:jc w:val="center"/>
            </w:pPr>
            <w:r>
              <w:rPr>
                <w:rFonts w:ascii="Arial" w:cs="Arial" w:eastAsia="Arial" w:hAnsi="Arial"/>
                <w:color w:val="BDC3C7"/>
                <w:sz w:val="18"/>
                <w:szCs w:val="18"/>
              </w:rPr>
              <w:t xml:space="preserve">Mandatory Floor</w:t>
            </w:r>
          </w:p>
          <w:p>
            <w:pPr>
              <w:jc w:val="center"/>
            </w:pPr>
            <w:r>
              <w:rPr>
                <w:rFonts w:ascii="Arial" w:cs="Arial" w:eastAsia="Arial" w:hAnsi="Arial"/>
                <w:i/>
                <w:iCs/>
                <w:color w:val="BDC3C7"/>
                <w:sz w:val="16"/>
                <w:szCs w:val="16"/>
              </w:rPr>
              <w:t xml:space="preserve">Non-negotiable platform fees</w:t>
            </w:r>
          </w:p>
        </w:tc>
        <w:tc>
          <w:tcPr>
            <w:tcW w:type="dxa" w:w="2340"/>
            <w:tcBorders>
              <w:top w:val="none" w:color="FFFFFF" w:sz="0"/>
              <w:left w:val="none" w:color="FFFFFF" w:sz="0"/>
              <w:bottom w:val="none" w:color="FFFFFF" w:sz="0"/>
              <w:right w:val="none" w:color="FFFFFF" w:sz="0"/>
            </w:tcBorders>
            <w:shd w:fill="2E86C1" w:val="clear"/>
            <w:tcMar>
              <w:top w:type="dxa" w:w="160"/>
              <w:left w:type="dxa" w:w="80"/>
              <w:bottom w:type="dxa" w:w="160"/>
              <w:right w:type="dxa" w:w="80"/>
            </w:tcMar>
          </w:tcPr>
          <w:p>
            <w:pPr>
              <w:jc w:val="center"/>
            </w:pPr>
            <w:r>
              <w:rPr>
                <w:rFonts w:ascii="Arial" w:cs="Arial" w:eastAsia="Arial" w:hAnsi="Arial"/>
                <w:b/>
                <w:bCs/>
                <w:color w:val="FFFFFF"/>
                <w:sz w:val="40"/>
                <w:szCs w:val="40"/>
              </w:rPr>
              <w:t xml:space="preserve">$120</w:t>
            </w:r>
          </w:p>
          <w:p>
            <w:pPr>
              <w:jc w:val="center"/>
            </w:pPr>
            <w:r>
              <w:rPr>
                <w:rFonts w:ascii="Arial" w:cs="Arial" w:eastAsia="Arial" w:hAnsi="Arial"/>
                <w:color w:val="D6EAF8"/>
                <w:sz w:val="18"/>
                <w:szCs w:val="18"/>
              </w:rPr>
              <w:t xml:space="preserve">Dev Productivity</w:t>
            </w:r>
          </w:p>
          <w:p>
            <w:pPr>
              <w:jc w:val="center"/>
            </w:pPr>
            <w:r>
              <w:rPr>
                <w:rFonts w:ascii="Arial" w:cs="Arial" w:eastAsia="Arial" w:hAnsi="Arial"/>
                <w:i/>
                <w:iCs/>
                <w:color w:val="D6EAF8"/>
                <w:sz w:val="16"/>
                <w:szCs w:val="16"/>
              </w:rPr>
              <w:t xml:space="preserve">Cursor Pro annual</w:t>
            </w:r>
          </w:p>
        </w:tc>
        <w:tc>
          <w:tcPr>
            <w:tcW w:type="dxa" w:w="2340"/>
            <w:tcBorders>
              <w:top w:val="none" w:color="FFFFFF" w:sz="0"/>
              <w:left w:val="none" w:color="FFFFFF" w:sz="0"/>
              <w:bottom w:val="none" w:color="FFFFFF" w:sz="0"/>
              <w:right w:val="none" w:color="FFFFFF" w:sz="0"/>
            </w:tcBorders>
            <w:shd w:fill="1A5276" w:val="clear"/>
            <w:tcMar>
              <w:top w:type="dxa" w:w="160"/>
              <w:left w:type="dxa" w:w="80"/>
              <w:bottom w:type="dxa" w:w="160"/>
              <w:right w:type="dxa" w:w="80"/>
            </w:tcMar>
          </w:tcPr>
          <w:p>
            <w:pPr>
              <w:jc w:val="center"/>
            </w:pPr>
            <w:r>
              <w:rPr>
                <w:rFonts w:ascii="Arial" w:cs="Arial" w:eastAsia="Arial" w:hAnsi="Arial"/>
                <w:b/>
                <w:bCs/>
                <w:color w:val="FFFFFF"/>
                <w:sz w:val="40"/>
                <w:szCs w:val="40"/>
              </w:rPr>
              <w:t xml:space="preserve">$360</w:t>
            </w:r>
          </w:p>
          <w:p>
            <w:pPr>
              <w:jc w:val="center"/>
            </w:pPr>
            <w:r>
              <w:rPr>
                <w:rFonts w:ascii="Arial" w:cs="Arial" w:eastAsia="Arial" w:hAnsi="Arial"/>
                <w:color w:val="BDC3C7"/>
                <w:sz w:val="18"/>
                <w:szCs w:val="18"/>
              </w:rPr>
              <w:t xml:space="preserve">Marketing &amp; Brand</w:t>
            </w:r>
          </w:p>
          <w:p>
            <w:pPr>
              <w:jc w:val="center"/>
            </w:pPr>
            <w:r>
              <w:rPr>
                <w:rFonts w:ascii="Arial" w:cs="Arial" w:eastAsia="Arial" w:hAnsi="Arial"/>
                <w:i/>
                <w:iCs/>
                <w:color w:val="BDC3C7"/>
                <w:sz w:val="16"/>
                <w:szCs w:val="16"/>
              </w:rPr>
              <w:t xml:space="preserve">Logo, ASO, paid learning</w:t>
            </w:r>
          </w:p>
        </w:tc>
        <w:tc>
          <w:tcPr>
            <w:tcW w:type="dxa" w:w="2340"/>
            <w:tcBorders>
              <w:top w:val="none" w:color="FFFFFF" w:sz="0"/>
              <w:left w:val="none" w:color="FFFFFF" w:sz="0"/>
              <w:bottom w:val="none" w:color="FFFFFF" w:sz="0"/>
              <w:right w:val="none" w:color="FFFFFF" w:sz="0"/>
            </w:tcBorders>
            <w:shd w:fill="154360" w:val="clear"/>
            <w:tcMar>
              <w:top w:type="dxa" w:w="160"/>
              <w:left w:type="dxa" w:w="80"/>
              <w:bottom w:type="dxa" w:w="160"/>
              <w:right w:type="dxa" w:w="160"/>
            </w:tcMar>
          </w:tcPr>
          <w:p>
            <w:pPr>
              <w:jc w:val="center"/>
            </w:pPr>
            <w:r>
              <w:rPr>
                <w:rFonts w:ascii="Arial" w:cs="Arial" w:eastAsia="Arial" w:hAnsi="Arial"/>
                <w:b/>
                <w:bCs/>
                <w:color w:val="FFFFFF"/>
                <w:sz w:val="40"/>
                <w:szCs w:val="40"/>
              </w:rPr>
              <w:t xml:space="preserve">$127</w:t>
            </w:r>
          </w:p>
          <w:p>
            <w:pPr>
              <w:jc w:val="center"/>
            </w:pPr>
            <w:r>
              <w:rPr>
                <w:rFonts w:ascii="Arial" w:cs="Arial" w:eastAsia="Arial" w:hAnsi="Arial"/>
                <w:color w:val="BDC3C7"/>
                <w:sz w:val="18"/>
                <w:szCs w:val="18"/>
              </w:rPr>
              <w:t xml:space="preserve">Ops Buffer</w:t>
            </w:r>
          </w:p>
          <w:p>
            <w:pPr>
              <w:jc w:val="center"/>
            </w:pPr>
            <w:r>
              <w:rPr>
                <w:rFonts w:ascii="Arial" w:cs="Arial" w:eastAsia="Arial" w:hAnsi="Arial"/>
                <w:i/>
                <w:iCs/>
                <w:color w:val="BDC3C7"/>
                <w:sz w:val="16"/>
                <w:szCs w:val="16"/>
              </w:rPr>
              <w:t xml:space="preserve">Scale-up reserve</w:t>
            </w:r>
          </w:p>
        </w:tc>
      </w:tr>
    </w:tbl>
    <w:p>
      <w:pPr>
        <w:spacing w:after="0" w:before="200"/>
      </w:pPr>
    </w:p>
    <w:p>
      <w:pPr>
        <w:pStyle w:val="Heading1"/>
      </w:pPr>
      <w:r>
        <w:rPr>
          <w:rFonts w:ascii="Arial" w:cs="Arial" w:eastAsia="Arial" w:hAnsi="Arial"/>
          <w:b/>
          <w:bCs/>
          <w:color w:val="1B4F72"/>
          <w:sz w:val="32"/>
          <w:szCs w:val="32"/>
        </w:rPr>
        <w:t xml:space="preserve">1. Budget Philosophy &amp; Ground Rules</w:t>
      </w:r>
    </w:p>
    <w:p>
      <w:pPr>
        <w:spacing w:after="80" w:before="80"/>
        <w:jc w:val="left"/>
      </w:pPr>
      <w:r>
        <w:rPr>
          <w:rFonts w:ascii="Arial" w:cs="Arial" w:eastAsia="Arial" w:hAnsi="Arial"/>
          <w:b w:val="false"/>
          <w:bCs w:val="false"/>
          <w:i w:val="false"/>
          <w:iCs w:val="false"/>
          <w:color w:val="222222"/>
          <w:sz w:val="22"/>
          <w:szCs w:val="22"/>
        </w:rPr>
        <w:t xml:space="preserve">This budget is built on four principles carried forward from the exec playbook:</w:t>
      </w:r>
    </w:p>
    <w:p>
      <w:pPr>
        <w:spacing w:after="0" w:before="60"/>
      </w:pPr>
    </w:p>
    <w:p>
      <w:pPr>
        <w:pStyle w:val="ListParagraph"/>
        <w:numPr>
          <w:ilvl w:val="0"/>
          <w:numId w:val="2"/>
        </w:numPr>
        <w:spacing w:after="40" w:before="40"/>
      </w:pPr>
      <w:r>
        <w:rPr>
          <w:rFonts w:ascii="Arial" w:cs="Arial" w:eastAsia="Arial" w:hAnsi="Arial"/>
          <w:color w:val="222222"/>
          <w:sz w:val="22"/>
          <w:szCs w:val="22"/>
        </w:rPr>
        <w:t xml:space="preserve">Mandatory floor first. Every dollar above $193 is a choice. Name the choice, name what it buys.</w:t>
      </w:r>
    </w:p>
    <w:p>
      <w:pPr>
        <w:pStyle w:val="ListParagraph"/>
        <w:numPr>
          <w:ilvl w:val="0"/>
          <w:numId w:val="2"/>
        </w:numPr>
        <w:spacing w:after="40" w:before="40"/>
      </w:pPr>
      <w:r>
        <w:rPr>
          <w:rFonts w:ascii="Arial" w:cs="Arial" w:eastAsia="Arial" w:hAnsi="Arial"/>
          <w:color w:val="222222"/>
          <w:sz w:val="22"/>
          <w:szCs w:val="22"/>
        </w:rPr>
        <w:t xml:space="preserve">Free tiers are infrastructure, not workarounds. The entire BaaS stack (Supabase, PowerSync, PostHog, Sentry, Resend, FCM) stays on free tiers until ~1,000 MAU. Paying before that is buying unused capacity.</w:t>
      </w:r>
    </w:p>
    <w:p>
      <w:pPr>
        <w:pStyle w:val="ListParagraph"/>
        <w:numPr>
          <w:ilvl w:val="0"/>
          <w:numId w:val="2"/>
        </w:numPr>
        <w:spacing w:after="40" w:before="40"/>
      </w:pPr>
      <w:r>
        <w:rPr>
          <w:rFonts w:ascii="Arial" w:cs="Arial" w:eastAsia="Arial" w:hAnsi="Arial"/>
          <w:color w:val="222222"/>
          <w:sz w:val="22"/>
          <w:szCs w:val="22"/>
        </w:rPr>
        <w:t xml:space="preserve">Marketing is the dominant lever. Infrastructure optimization is noise against marketing at this scale. The $800 plan reflects that: 45% of discretionary budget goes to marketing signal-gathering.</w:t>
      </w:r>
    </w:p>
    <w:p>
      <w:pPr>
        <w:pStyle w:val="ListParagraph"/>
        <w:numPr>
          <w:ilvl w:val="0"/>
          <w:numId w:val="2"/>
        </w:numPr>
        <w:spacing w:after="40" w:before="40"/>
      </w:pPr>
      <w:r>
        <w:rPr>
          <w:rFonts w:ascii="Arial" w:cs="Arial" w:eastAsia="Arial" w:hAnsi="Arial"/>
          <w:color w:val="222222"/>
          <w:sz w:val="22"/>
          <w:szCs w:val="22"/>
        </w:rPr>
        <w:t xml:space="preserve">Steel-man before recommending. Every non-trivial allocation has a documented counter-argument stronger than "we could save money." If the counter-argument wins, the allocation changes.</w:t>
      </w:r>
    </w:p>
    <w:p>
      <w:pPr>
        <w:spacing w:after="0" w:before="120"/>
      </w:pPr>
    </w:p>
    <w:p>
      <w:pPr>
        <w:spacing w:after="80" w:before="80"/>
        <w:jc w:val="left"/>
      </w:pPr>
      <w:r>
        <w:rPr>
          <w:rFonts w:ascii="Arial" w:cs="Arial" w:eastAsia="Arial" w:hAnsi="Arial"/>
          <w:b w:val="false"/>
          <w:bCs w:val="false"/>
          <w:i w:val="false"/>
          <w:iCs w:val="false"/>
          <w:color w:val="222222"/>
          <w:sz w:val="22"/>
          <w:szCs w:val="22"/>
        </w:rPr>
        <w:t xml:space="preserve">The $800 constraint was accepted as fixed, not negotiated away. The document ends with explicit triggers for when the investment should be revisited — because the correct question is not "how do we do more with $800" but "what milestones warrant unlocking more capital."</w:t>
      </w:r>
    </w:p>
    <w:p>
      <w:pPr>
        <w:spacing w:after="0" w:before="160"/>
      </w:pPr>
    </w:p>
    <w:p>
      <w:r>
        <w:br w:type="page"/>
      </w:r>
    </w:p>
    <w:p>
      <w:pPr>
        <w:pStyle w:val="Heading1"/>
      </w:pPr>
      <w:r>
        <w:rPr>
          <w:rFonts w:ascii="Arial" w:cs="Arial" w:eastAsia="Arial" w:hAnsi="Arial"/>
          <w:b/>
          <w:bCs/>
          <w:color w:val="1B4F72"/>
          <w:sz w:val="32"/>
          <w:szCs w:val="32"/>
        </w:rPr>
        <w:t xml:space="preserve">2. Mandatory Infrastructure Floor — $193</w:t>
      </w:r>
    </w:p>
    <w:p>
      <w:pPr>
        <w:spacing w:after="80" w:before="80"/>
        <w:jc w:val="left"/>
      </w:pPr>
      <w:r>
        <w:rPr>
          <w:rFonts w:ascii="Arial" w:cs="Arial" w:eastAsia="Arial" w:hAnsi="Arial"/>
          <w:b w:val="false"/>
          <w:bCs w:val="false"/>
          <w:i w:val="false"/>
          <w:iCs w:val="false"/>
          <w:color w:val="222222"/>
          <w:sz w:val="22"/>
          <w:szCs w:val="22"/>
        </w:rPr>
        <w:t xml:space="preserve">The mandatory floor is what Peak Fettle spends with zero users, zero marketing, and zero optional choices. These are the platform fees required to exist as a published app on three operating systems. They are non-negotiable in the sense that there is no workaround, no free tier, and no deferral that leaves the product functional.</w:t>
      </w:r>
    </w:p>
    <w:p>
      <w:pPr>
        <w:spacing w:after="0" w:before="12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200"/>
        <w:gridCol w:w="2380"/>
        <w:gridCol w:w="2780"/>
      </w:tblGrid>
      <w:tr>
        <w:tc>
          <w:tcPr>
            <w:tcW w:type="dxa" w:w="4200"/>
            <w:tcBorders>
              <w:top w:val="single" w:color="FFFFFF" w:sz="1"/>
              <w:left w:val="single" w:color="FFFFFF" w:sz="1"/>
              <w:bottom w:val="single" w:color="FFFFFF" w:sz="1"/>
              <w:right w:val="single" w:color="FFFFFF" w:sz="1"/>
            </w:tcBorders>
            <w:shd w:fill="2E86C1" w:val="clear"/>
            <w:tcMar>
              <w:top w:type="dxa" w:w="80"/>
              <w:left w:type="dxa" w:w="120"/>
              <w:bottom w:type="dxa" w:w="80"/>
              <w:right w:type="dxa" w:w="120"/>
            </w:tcMar>
            <w:vAlign w:val="center"/>
          </w:tcPr>
          <w:p>
            <w:pPr>
              <w:jc w:val="left"/>
            </w:pPr>
            <w:r>
              <w:rPr>
                <w:rFonts w:ascii="Arial" w:cs="Arial" w:eastAsia="Arial" w:hAnsi="Arial"/>
                <w:b/>
                <w:bCs/>
                <w:color w:val="FFFFFF"/>
                <w:sz w:val="20"/>
                <w:szCs w:val="20"/>
              </w:rPr>
              <w:t xml:space="preserve">Line Item</w:t>
            </w:r>
          </w:p>
        </w:tc>
        <w:tc>
          <w:tcPr>
            <w:tcW w:type="dxa" w:w="2380"/>
            <w:tcBorders>
              <w:top w:val="single" w:color="FFFFFF" w:sz="1"/>
              <w:left w:val="single" w:color="FFFFFF" w:sz="1"/>
              <w:bottom w:val="single" w:color="FFFFFF" w:sz="1"/>
              <w:right w:val="single" w:color="FFFFFF" w:sz="1"/>
            </w:tcBorders>
            <w:shd w:fill="2E86C1" w:val="clear"/>
            <w:tcMar>
              <w:top w:type="dxa" w:w="80"/>
              <w:left w:type="dxa" w:w="120"/>
              <w:bottom w:type="dxa" w:w="80"/>
              <w:right w:type="dxa" w:w="120"/>
            </w:tcMar>
            <w:vAlign w:val="center"/>
          </w:tcPr>
          <w:p>
            <w:pPr>
              <w:jc w:val="left"/>
            </w:pPr>
            <w:r>
              <w:rPr>
                <w:rFonts w:ascii="Arial" w:cs="Arial" w:eastAsia="Arial" w:hAnsi="Arial"/>
                <w:b/>
                <w:bCs/>
                <w:color w:val="FFFFFF"/>
                <w:sz w:val="20"/>
                <w:szCs w:val="20"/>
              </w:rPr>
              <w:t xml:space="preserve">Type</w:t>
            </w:r>
          </w:p>
        </w:tc>
        <w:tc>
          <w:tcPr>
            <w:tcW w:type="dxa" w:w="2780"/>
            <w:tcBorders>
              <w:top w:val="single" w:color="FFFFFF" w:sz="1"/>
              <w:left w:val="single" w:color="FFFFFF" w:sz="1"/>
              <w:bottom w:val="single" w:color="FFFFFF" w:sz="1"/>
              <w:right w:val="single" w:color="FFFFFF" w:sz="1"/>
            </w:tcBorders>
            <w:shd w:fill="2E86C1" w:val="clear"/>
            <w:tcMar>
              <w:top w:type="dxa" w:w="80"/>
              <w:left w:type="dxa" w:w="120"/>
              <w:bottom w:type="dxa" w:w="80"/>
              <w:right w:type="dxa" w:w="120"/>
            </w:tcMar>
            <w:vAlign w:val="center"/>
          </w:tcPr>
          <w:p>
            <w:pPr>
              <w:jc w:val="right"/>
            </w:pPr>
            <w:r>
              <w:rPr>
                <w:rFonts w:ascii="Arial" w:cs="Arial" w:eastAsia="Arial" w:hAnsi="Arial"/>
                <w:b/>
                <w:bCs/>
                <w:color w:val="FFFFFF"/>
                <w:sz w:val="20"/>
                <w:szCs w:val="20"/>
              </w:rPr>
              <w:t xml:space="preserve">Amount</w:t>
            </w:r>
          </w:p>
        </w:tc>
      </w:tr>
      <w:tr>
        <w:tc>
          <w:tcPr>
            <w:tcW w:type="dxa" w:w="4200"/>
            <w:tcBorders>
              <w:top w:val="single" w:color="BDC3C7" w:sz="1"/>
              <w:left w:val="single" w:color="BDC3C7" w:sz="1"/>
              <w:bottom w:val="single" w:color="BDC3C7" w:sz="1"/>
              <w:right w:val="single" w:color="BDC3C7"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222222"/>
                <w:sz w:val="20"/>
                <w:szCs w:val="20"/>
              </w:rPr>
              <w:t xml:space="preserve">peakfettle.com domain (premium .com)</w:t>
            </w:r>
          </w:p>
        </w:tc>
        <w:tc>
          <w:tcPr>
            <w:tcW w:type="dxa" w:w="2380"/>
            <w:tcBorders>
              <w:top w:val="single" w:color="BDC3C7" w:sz="1"/>
              <w:left w:val="single" w:color="BDC3C7" w:sz="1"/>
              <w:bottom w:val="single" w:color="BDC3C7" w:sz="1"/>
              <w:right w:val="single" w:color="BDC3C7"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222222"/>
                <w:sz w:val="20"/>
                <w:szCs w:val="20"/>
              </w:rPr>
              <w:t xml:space="preserve">Fixed annual</w:t>
            </w:r>
          </w:p>
        </w:tc>
        <w:tc>
          <w:tcPr>
            <w:tcW w:type="dxa" w:w="2780"/>
            <w:tcBorders>
              <w:top w:val="single" w:color="BDC3C7" w:sz="1"/>
              <w:left w:val="single" w:color="BDC3C7" w:sz="1"/>
              <w:bottom w:val="single" w:color="BDC3C7" w:sz="1"/>
              <w:right w:val="single" w:color="BDC3C7" w:sz="1"/>
            </w:tcBorders>
            <w:shd w:fill="FFFFFF" w:val="clear"/>
            <w:tcMar>
              <w:top w:type="dxa" w:w="80"/>
              <w:left w:type="dxa" w:w="120"/>
              <w:bottom w:type="dxa" w:w="80"/>
              <w:right w:type="dxa" w:w="120"/>
            </w:tcMar>
            <w:vAlign w:val="center"/>
          </w:tcPr>
          <w:p>
            <w:pPr>
              <w:jc w:val="right"/>
            </w:pPr>
            <w:r>
              <w:rPr>
                <w:rFonts w:ascii="Arial" w:cs="Arial" w:eastAsia="Arial" w:hAnsi="Arial"/>
                <w:b w:val="false"/>
                <w:bCs w:val="false"/>
                <w:color w:val="222222"/>
                <w:sz w:val="20"/>
                <w:szCs w:val="20"/>
              </w:rPr>
              <w:t xml:space="preserve">$50</w:t>
            </w:r>
          </w:p>
        </w:tc>
      </w:tr>
      <w:tr>
        <w:tc>
          <w:tcPr>
            <w:tcW w:type="dxa" w:w="4200"/>
            <w:tcBorders>
              <w:top w:val="single" w:color="BDC3C7" w:sz="1"/>
              <w:left w:val="single" w:color="BDC3C7" w:sz="1"/>
              <w:bottom w:val="single" w:color="BDC3C7" w:sz="1"/>
              <w:right w:val="single" w:color="BDC3C7" w:sz="1"/>
            </w:tcBorders>
            <w:shd w:fill="F2F3F4" w:val="clear"/>
            <w:tcMar>
              <w:top w:type="dxa" w:w="80"/>
              <w:left w:type="dxa" w:w="120"/>
              <w:bottom w:type="dxa" w:w="80"/>
              <w:right w:type="dxa" w:w="120"/>
            </w:tcMar>
            <w:vAlign w:val="center"/>
          </w:tcPr>
          <w:p>
            <w:pPr>
              <w:jc w:val="left"/>
            </w:pPr>
            <w:r>
              <w:rPr>
                <w:rFonts w:ascii="Arial" w:cs="Arial" w:eastAsia="Arial" w:hAnsi="Arial"/>
                <w:b w:val="false"/>
                <w:bCs w:val="false"/>
                <w:color w:val="222222"/>
                <w:sz w:val="20"/>
                <w:szCs w:val="20"/>
              </w:rPr>
              <w:t xml:space="preserve">Apple Developer Program</w:t>
            </w:r>
          </w:p>
        </w:tc>
        <w:tc>
          <w:tcPr>
            <w:tcW w:type="dxa" w:w="2380"/>
            <w:tcBorders>
              <w:top w:val="single" w:color="BDC3C7" w:sz="1"/>
              <w:left w:val="single" w:color="BDC3C7" w:sz="1"/>
              <w:bottom w:val="single" w:color="BDC3C7" w:sz="1"/>
              <w:right w:val="single" w:color="BDC3C7" w:sz="1"/>
            </w:tcBorders>
            <w:shd w:fill="F2F3F4" w:val="clear"/>
            <w:tcMar>
              <w:top w:type="dxa" w:w="80"/>
              <w:left w:type="dxa" w:w="120"/>
              <w:bottom w:type="dxa" w:w="80"/>
              <w:right w:type="dxa" w:w="120"/>
            </w:tcMar>
            <w:vAlign w:val="center"/>
          </w:tcPr>
          <w:p>
            <w:pPr>
              <w:jc w:val="left"/>
            </w:pPr>
            <w:r>
              <w:rPr>
                <w:rFonts w:ascii="Arial" w:cs="Arial" w:eastAsia="Arial" w:hAnsi="Arial"/>
                <w:b w:val="false"/>
                <w:bCs w:val="false"/>
                <w:color w:val="222222"/>
                <w:sz w:val="20"/>
                <w:szCs w:val="20"/>
              </w:rPr>
              <w:t xml:space="preserve">Fixed annual</w:t>
            </w:r>
          </w:p>
        </w:tc>
        <w:tc>
          <w:tcPr>
            <w:tcW w:type="dxa" w:w="2780"/>
            <w:tcBorders>
              <w:top w:val="single" w:color="BDC3C7" w:sz="1"/>
              <w:left w:val="single" w:color="BDC3C7" w:sz="1"/>
              <w:bottom w:val="single" w:color="BDC3C7" w:sz="1"/>
              <w:right w:val="single" w:color="BDC3C7" w:sz="1"/>
            </w:tcBorders>
            <w:shd w:fill="F2F3F4" w:val="clear"/>
            <w:tcMar>
              <w:top w:type="dxa" w:w="80"/>
              <w:left w:type="dxa" w:w="120"/>
              <w:bottom w:type="dxa" w:w="80"/>
              <w:right w:type="dxa" w:w="120"/>
            </w:tcMar>
            <w:vAlign w:val="center"/>
          </w:tcPr>
          <w:p>
            <w:pPr>
              <w:jc w:val="right"/>
            </w:pPr>
            <w:r>
              <w:rPr>
                <w:rFonts w:ascii="Arial" w:cs="Arial" w:eastAsia="Arial" w:hAnsi="Arial"/>
                <w:b w:val="false"/>
                <w:bCs w:val="false"/>
                <w:color w:val="222222"/>
                <w:sz w:val="20"/>
                <w:szCs w:val="20"/>
              </w:rPr>
              <w:t xml:space="preserve">$99</w:t>
            </w:r>
          </w:p>
        </w:tc>
      </w:tr>
      <w:tr>
        <w:tc>
          <w:tcPr>
            <w:tcW w:type="dxa" w:w="4200"/>
            <w:tcBorders>
              <w:top w:val="single" w:color="BDC3C7" w:sz="1"/>
              <w:left w:val="single" w:color="BDC3C7" w:sz="1"/>
              <w:bottom w:val="single" w:color="BDC3C7" w:sz="1"/>
              <w:right w:val="single" w:color="BDC3C7"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222222"/>
                <w:sz w:val="20"/>
                <w:szCs w:val="20"/>
              </w:rPr>
              <w:t xml:space="preserve">Google Play Developer Account</w:t>
            </w:r>
          </w:p>
        </w:tc>
        <w:tc>
          <w:tcPr>
            <w:tcW w:type="dxa" w:w="2380"/>
            <w:tcBorders>
              <w:top w:val="single" w:color="BDC3C7" w:sz="1"/>
              <w:left w:val="single" w:color="BDC3C7" w:sz="1"/>
              <w:bottom w:val="single" w:color="BDC3C7" w:sz="1"/>
              <w:right w:val="single" w:color="BDC3C7"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222222"/>
                <w:sz w:val="20"/>
                <w:szCs w:val="20"/>
              </w:rPr>
              <w:t xml:space="preserve">One-time</w:t>
            </w:r>
          </w:p>
        </w:tc>
        <w:tc>
          <w:tcPr>
            <w:tcW w:type="dxa" w:w="2780"/>
            <w:tcBorders>
              <w:top w:val="single" w:color="BDC3C7" w:sz="1"/>
              <w:left w:val="single" w:color="BDC3C7" w:sz="1"/>
              <w:bottom w:val="single" w:color="BDC3C7" w:sz="1"/>
              <w:right w:val="single" w:color="BDC3C7" w:sz="1"/>
            </w:tcBorders>
            <w:shd w:fill="FFFFFF" w:val="clear"/>
            <w:tcMar>
              <w:top w:type="dxa" w:w="80"/>
              <w:left w:type="dxa" w:w="120"/>
              <w:bottom w:type="dxa" w:w="80"/>
              <w:right w:type="dxa" w:w="120"/>
            </w:tcMar>
            <w:vAlign w:val="center"/>
          </w:tcPr>
          <w:p>
            <w:pPr>
              <w:jc w:val="right"/>
            </w:pPr>
            <w:r>
              <w:rPr>
                <w:rFonts w:ascii="Arial" w:cs="Arial" w:eastAsia="Arial" w:hAnsi="Arial"/>
                <w:b w:val="false"/>
                <w:bCs w:val="false"/>
                <w:color w:val="222222"/>
                <w:sz w:val="20"/>
                <w:szCs w:val="20"/>
              </w:rPr>
              <w:t xml:space="preserve">$25</w:t>
            </w:r>
          </w:p>
        </w:tc>
      </w:tr>
      <w:tr>
        <w:tc>
          <w:tcPr>
            <w:tcW w:type="dxa" w:w="4200"/>
            <w:tcBorders>
              <w:top w:val="single" w:color="BDC3C7" w:sz="1"/>
              <w:left w:val="single" w:color="BDC3C7" w:sz="1"/>
              <w:bottom w:val="single" w:color="BDC3C7" w:sz="1"/>
              <w:right w:val="single" w:color="BDC3C7" w:sz="1"/>
            </w:tcBorders>
            <w:shd w:fill="F2F3F4" w:val="clear"/>
            <w:tcMar>
              <w:top w:type="dxa" w:w="80"/>
              <w:left w:type="dxa" w:w="120"/>
              <w:bottom w:type="dxa" w:w="80"/>
              <w:right w:type="dxa" w:w="120"/>
            </w:tcMar>
            <w:vAlign w:val="center"/>
          </w:tcPr>
          <w:p>
            <w:pPr>
              <w:jc w:val="left"/>
            </w:pPr>
            <w:r>
              <w:rPr>
                <w:rFonts w:ascii="Arial" w:cs="Arial" w:eastAsia="Arial" w:hAnsi="Arial"/>
                <w:b w:val="false"/>
                <w:bCs w:val="false"/>
                <w:color w:val="222222"/>
                <w:sz w:val="20"/>
                <w:szCs w:val="20"/>
              </w:rPr>
              <w:t xml:space="preserve">Microsoft Store (individual tier)</w:t>
            </w:r>
          </w:p>
        </w:tc>
        <w:tc>
          <w:tcPr>
            <w:tcW w:type="dxa" w:w="2380"/>
            <w:tcBorders>
              <w:top w:val="single" w:color="BDC3C7" w:sz="1"/>
              <w:left w:val="single" w:color="BDC3C7" w:sz="1"/>
              <w:bottom w:val="single" w:color="BDC3C7" w:sz="1"/>
              <w:right w:val="single" w:color="BDC3C7" w:sz="1"/>
            </w:tcBorders>
            <w:shd w:fill="F2F3F4" w:val="clear"/>
            <w:tcMar>
              <w:top w:type="dxa" w:w="80"/>
              <w:left w:type="dxa" w:w="120"/>
              <w:bottom w:type="dxa" w:w="80"/>
              <w:right w:type="dxa" w:w="120"/>
            </w:tcMar>
            <w:vAlign w:val="center"/>
          </w:tcPr>
          <w:p>
            <w:pPr>
              <w:jc w:val="left"/>
            </w:pPr>
            <w:r>
              <w:rPr>
                <w:rFonts w:ascii="Arial" w:cs="Arial" w:eastAsia="Arial" w:hAnsi="Arial"/>
                <w:b w:val="false"/>
                <w:bCs w:val="false"/>
                <w:color w:val="222222"/>
                <w:sz w:val="20"/>
                <w:szCs w:val="20"/>
              </w:rPr>
              <w:t xml:space="preserve">One-time</w:t>
            </w:r>
          </w:p>
        </w:tc>
        <w:tc>
          <w:tcPr>
            <w:tcW w:type="dxa" w:w="2780"/>
            <w:tcBorders>
              <w:top w:val="single" w:color="BDC3C7" w:sz="1"/>
              <w:left w:val="single" w:color="BDC3C7" w:sz="1"/>
              <w:bottom w:val="single" w:color="BDC3C7" w:sz="1"/>
              <w:right w:val="single" w:color="BDC3C7" w:sz="1"/>
            </w:tcBorders>
            <w:shd w:fill="F2F3F4" w:val="clear"/>
            <w:tcMar>
              <w:top w:type="dxa" w:w="80"/>
              <w:left w:type="dxa" w:w="120"/>
              <w:bottom w:type="dxa" w:w="80"/>
              <w:right w:type="dxa" w:w="120"/>
            </w:tcMar>
            <w:vAlign w:val="center"/>
          </w:tcPr>
          <w:p>
            <w:pPr>
              <w:jc w:val="right"/>
            </w:pPr>
            <w:r>
              <w:rPr>
                <w:rFonts w:ascii="Arial" w:cs="Arial" w:eastAsia="Arial" w:hAnsi="Arial"/>
                <w:b w:val="false"/>
                <w:bCs w:val="false"/>
                <w:color w:val="222222"/>
                <w:sz w:val="20"/>
                <w:szCs w:val="20"/>
              </w:rPr>
              <w:t xml:space="preserve">$19</w:t>
            </w:r>
          </w:p>
        </w:tc>
      </w:tr>
      <w:tr>
        <w:tc>
          <w:tcPr>
            <w:tcW w:type="dxa" w:w="4200"/>
            <w:tcBorders>
              <w:top w:val="single" w:color="BDC3C7" w:sz="1"/>
              <w:left w:val="single" w:color="BDC3C7" w:sz="1"/>
              <w:bottom w:val="single" w:color="BDC3C7" w:sz="1"/>
              <w:right w:val="single" w:color="BDC3C7" w:sz="1"/>
            </w:tcBorders>
            <w:shd w:fill="1B4F72" w:val="clear"/>
            <w:tcMar>
              <w:top w:type="dxa" w:w="80"/>
              <w:left w:type="dxa" w:w="120"/>
              <w:bottom w:type="dxa" w:w="80"/>
              <w:right w:type="dxa" w:w="120"/>
            </w:tcMar>
          </w:tcPr>
          <w:p>
            <w:pPr>
              <w:jc w:val="left"/>
            </w:pPr>
            <w:r>
              <w:rPr>
                <w:rFonts w:ascii="Arial" w:cs="Arial" w:eastAsia="Arial" w:hAnsi="Arial"/>
                <w:b/>
                <w:bCs/>
                <w:color w:val="FFFFFF"/>
                <w:sz w:val="20"/>
                <w:szCs w:val="20"/>
              </w:rPr>
              <w:t xml:space="preserve">MANDATORY FLOOR TOTAL</w:t>
            </w:r>
          </w:p>
        </w:tc>
        <w:tc>
          <w:tcPr>
            <w:tcW w:type="dxa" w:w="2380"/>
            <w:tcBorders>
              <w:top w:val="single" w:color="BDC3C7" w:sz="1"/>
              <w:left w:val="single" w:color="BDC3C7" w:sz="1"/>
              <w:bottom w:val="single" w:color="BDC3C7" w:sz="1"/>
              <w:right w:val="single" w:color="BDC3C7" w:sz="1"/>
            </w:tcBorders>
            <w:shd w:fill="1B4F72" w:val="clear"/>
            <w:tcMar>
              <w:top w:type="dxa" w:w="80"/>
              <w:left w:type="dxa" w:w="120"/>
              <w:bottom w:type="dxa" w:w="80"/>
              <w:right w:type="dxa" w:w="120"/>
            </w:tcMar>
          </w:tcPr>
          <w:p/>
        </w:tc>
        <w:tc>
          <w:tcPr>
            <w:tcW w:type="dxa" w:w="2780"/>
            <w:tcBorders>
              <w:top w:val="single" w:color="BDC3C7" w:sz="1"/>
              <w:left w:val="single" w:color="BDC3C7" w:sz="1"/>
              <w:bottom w:val="single" w:color="BDC3C7" w:sz="1"/>
              <w:right w:val="single" w:color="BDC3C7" w:sz="1"/>
            </w:tcBorders>
            <w:shd w:fill="1B4F72" w:val="clear"/>
            <w:tcMar>
              <w:top w:type="dxa" w:w="80"/>
              <w:left w:type="dxa" w:w="120"/>
              <w:bottom w:type="dxa" w:w="80"/>
              <w:right w:type="dxa" w:w="120"/>
            </w:tcMar>
          </w:tcPr>
          <w:p>
            <w:pPr>
              <w:jc w:val="right"/>
            </w:pPr>
            <w:r>
              <w:rPr>
                <w:rFonts w:ascii="Arial" w:cs="Arial" w:eastAsia="Arial" w:hAnsi="Arial"/>
                <w:b/>
                <w:bCs/>
                <w:color w:val="FFFFFF"/>
                <w:sz w:val="20"/>
                <w:szCs w:val="20"/>
              </w:rPr>
              <w:t xml:space="preserve">$193</w:t>
            </w:r>
          </w:p>
        </w:tc>
      </w:tr>
    </w:tbl>
    <w:p>
      <w:pPr>
        <w:spacing w:after="0" w:before="120"/>
      </w:pPr>
    </w:p>
    <w:p>
      <w:pPr>
        <w:spacing w:after="80" w:before="80"/>
        <w:jc w:val="left"/>
      </w:pPr>
      <w:r>
        <w:rPr>
          <w:rFonts w:ascii="Arial" w:cs="Arial" w:eastAsia="Arial" w:hAnsi="Arial"/>
          <w:b w:val="false"/>
          <w:bCs w:val="false"/>
          <w:i/>
          <w:iCs/>
          <w:color w:val="666666"/>
          <w:sz w:val="22"/>
          <w:szCs w:val="22"/>
        </w:rPr>
        <w:t xml:space="preserve">The $193 floor is below the $215 cited in the Year 1 report because no logo or privacy policy spend is included here — those are discretionary and allocated under Marketing. The $22 difference is the executive team's deliberate choice to keep the floor definition strict.</w:t>
      </w:r>
    </w:p>
    <w:p>
      <w:pPr>
        <w:spacing w:after="0" w:before="160"/>
      </w:pPr>
    </w:p>
    <w:p>
      <w:pPr>
        <w:pStyle w:val="Heading1"/>
      </w:pPr>
      <w:r>
        <w:rPr>
          <w:rFonts w:ascii="Arial" w:cs="Arial" w:eastAsia="Arial" w:hAnsi="Arial"/>
          <w:b/>
          <w:bCs/>
          <w:color w:val="1B4F72"/>
          <w:sz w:val="32"/>
          <w:szCs w:val="32"/>
        </w:rPr>
        <w:t xml:space="preserve">3. Team-by-Team Input</w:t>
      </w:r>
    </w:p>
    <w:p>
      <w:pPr>
        <w:pStyle w:val="Heading2"/>
      </w:pPr>
      <w:r>
        <w:rPr>
          <w:rFonts w:ascii="Arial" w:cs="Arial" w:eastAsia="Arial" w:hAnsi="Arial"/>
          <w:b/>
          <w:bCs/>
          <w:color w:val="2E86C1"/>
          <w:sz w:val="26"/>
          <w:szCs w:val="26"/>
        </w:rPr>
        <w:t xml:space="preserve">3a. Development Team — $120</w:t>
      </w:r>
    </w:p>
    <w:p>
      <w:pPr>
        <w:spacing w:after="80" w:before="80"/>
        <w:jc w:val="left"/>
      </w:pPr>
      <w:r>
        <w:rPr>
          <w:rFonts w:ascii="Arial" w:cs="Arial" w:eastAsia="Arial" w:hAnsi="Arial"/>
          <w:b w:val="false"/>
          <w:bCs w:val="false"/>
          <w:i w:val="false"/>
          <w:iCs w:val="false"/>
          <w:color w:val="222222"/>
          <w:sz w:val="22"/>
          <w:szCs w:val="22"/>
        </w:rPr>
        <w:t xml:space="preserve">The Dev team's ask was simple and focused: Cursor Pro at $10/month on the annual plan. Everything else in the technical stack remains free tier for the foreseeable future. The team reviewed every infrastructure line item and confirmed no paid upgrade is warranted before 1,000 MAU.</w:t>
      </w:r>
    </w:p>
    <w:p>
      <w:pPr>
        <w:spacing w:after="0" w:before="10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600"/>
        <w:gridCol w:w="1600"/>
        <w:gridCol w:w="4160"/>
      </w:tblGrid>
      <w:tr>
        <w:tc>
          <w:tcPr>
            <w:tcW w:type="dxa" w:w="3600"/>
            <w:tcBorders>
              <w:top w:val="single" w:color="FFFFFF" w:sz="1"/>
              <w:left w:val="single" w:color="FFFFFF" w:sz="1"/>
              <w:bottom w:val="single" w:color="FFFFFF" w:sz="1"/>
              <w:right w:val="single" w:color="FFFFFF" w:sz="1"/>
            </w:tcBorders>
            <w:shd w:fill="2E86C1" w:val="clear"/>
            <w:tcMar>
              <w:top w:type="dxa" w:w="80"/>
              <w:left w:type="dxa" w:w="120"/>
              <w:bottom w:type="dxa" w:w="80"/>
              <w:right w:type="dxa" w:w="120"/>
            </w:tcMar>
            <w:vAlign w:val="center"/>
          </w:tcPr>
          <w:p>
            <w:pPr>
              <w:jc w:val="left"/>
            </w:pPr>
            <w:r>
              <w:rPr>
                <w:rFonts w:ascii="Arial" w:cs="Arial" w:eastAsia="Arial" w:hAnsi="Arial"/>
                <w:b/>
                <w:bCs/>
                <w:color w:val="FFFFFF"/>
                <w:sz w:val="20"/>
                <w:szCs w:val="20"/>
              </w:rPr>
              <w:t xml:space="preserve">Item</w:t>
            </w:r>
          </w:p>
        </w:tc>
        <w:tc>
          <w:tcPr>
            <w:tcW w:type="dxa" w:w="1600"/>
            <w:tcBorders>
              <w:top w:val="single" w:color="FFFFFF" w:sz="1"/>
              <w:left w:val="single" w:color="FFFFFF" w:sz="1"/>
              <w:bottom w:val="single" w:color="FFFFFF" w:sz="1"/>
              <w:right w:val="single" w:color="FFFFFF" w:sz="1"/>
            </w:tcBorders>
            <w:shd w:fill="2E86C1" w:val="clear"/>
            <w:tcMar>
              <w:top w:type="dxa" w:w="80"/>
              <w:left w:type="dxa" w:w="120"/>
              <w:bottom w:type="dxa" w:w="80"/>
              <w:right w:type="dxa" w:w="120"/>
            </w:tcMar>
            <w:vAlign w:val="center"/>
          </w:tcPr>
          <w:p>
            <w:pPr>
              <w:jc w:val="right"/>
            </w:pPr>
            <w:r>
              <w:rPr>
                <w:rFonts w:ascii="Arial" w:cs="Arial" w:eastAsia="Arial" w:hAnsi="Arial"/>
                <w:b/>
                <w:bCs/>
                <w:color w:val="FFFFFF"/>
                <w:sz w:val="20"/>
                <w:szCs w:val="20"/>
              </w:rPr>
              <w:t xml:space="preserve">Amount</w:t>
            </w:r>
          </w:p>
        </w:tc>
        <w:tc>
          <w:tcPr>
            <w:tcW w:type="dxa" w:w="4160"/>
            <w:tcBorders>
              <w:top w:val="single" w:color="FFFFFF" w:sz="1"/>
              <w:left w:val="single" w:color="FFFFFF" w:sz="1"/>
              <w:bottom w:val="single" w:color="FFFFFF" w:sz="1"/>
              <w:right w:val="single" w:color="FFFFFF" w:sz="1"/>
            </w:tcBorders>
            <w:shd w:fill="2E86C1" w:val="clear"/>
            <w:tcMar>
              <w:top w:type="dxa" w:w="80"/>
              <w:left w:type="dxa" w:w="120"/>
              <w:bottom w:type="dxa" w:w="80"/>
              <w:right w:type="dxa" w:w="120"/>
            </w:tcMar>
            <w:vAlign w:val="center"/>
          </w:tcPr>
          <w:p>
            <w:pPr>
              <w:jc w:val="left"/>
            </w:pPr>
            <w:r>
              <w:rPr>
                <w:rFonts w:ascii="Arial" w:cs="Arial" w:eastAsia="Arial" w:hAnsi="Arial"/>
                <w:b/>
                <w:bCs/>
                <w:color w:val="FFFFFF"/>
                <w:sz w:val="20"/>
                <w:szCs w:val="20"/>
              </w:rPr>
              <w:t xml:space="preserve">Rationale</w:t>
            </w:r>
          </w:p>
        </w:tc>
      </w:tr>
      <w:tr>
        <w:tc>
          <w:tcPr>
            <w:tcW w:type="dxa" w:w="3600"/>
            <w:tcBorders>
              <w:top w:val="single" w:color="BDC3C7" w:sz="1"/>
              <w:left w:val="single" w:color="BDC3C7" w:sz="1"/>
              <w:bottom w:val="single" w:color="BDC3C7" w:sz="1"/>
              <w:right w:val="single" w:color="BDC3C7"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222222"/>
                <w:sz w:val="20"/>
                <w:szCs w:val="20"/>
              </w:rPr>
              <w:t xml:space="preserve">Cursor Pro — annual plan ($10/mo)</w:t>
            </w:r>
          </w:p>
        </w:tc>
        <w:tc>
          <w:tcPr>
            <w:tcW w:type="dxa" w:w="1600"/>
            <w:tcBorders>
              <w:top w:val="single" w:color="BDC3C7" w:sz="1"/>
              <w:left w:val="single" w:color="BDC3C7" w:sz="1"/>
              <w:bottom w:val="single" w:color="BDC3C7" w:sz="1"/>
              <w:right w:val="single" w:color="BDC3C7" w:sz="1"/>
            </w:tcBorders>
            <w:shd w:fill="FFFFFF" w:val="clear"/>
            <w:tcMar>
              <w:top w:type="dxa" w:w="80"/>
              <w:left w:type="dxa" w:w="120"/>
              <w:bottom w:type="dxa" w:w="80"/>
              <w:right w:type="dxa" w:w="120"/>
            </w:tcMar>
            <w:vAlign w:val="center"/>
          </w:tcPr>
          <w:p>
            <w:pPr>
              <w:jc w:val="right"/>
            </w:pPr>
            <w:r>
              <w:rPr>
                <w:rFonts w:ascii="Arial" w:cs="Arial" w:eastAsia="Arial" w:hAnsi="Arial"/>
                <w:b/>
                <w:bCs/>
                <w:color w:val="222222"/>
                <w:sz w:val="20"/>
                <w:szCs w:val="20"/>
              </w:rPr>
              <w:t xml:space="preserve">$120</w:t>
            </w:r>
          </w:p>
        </w:tc>
        <w:tc>
          <w:tcPr>
            <w:tcW w:type="dxa" w:w="4160"/>
            <w:tcBorders>
              <w:top w:val="single" w:color="BDC3C7" w:sz="1"/>
              <w:left w:val="single" w:color="BDC3C7" w:sz="1"/>
              <w:bottom w:val="single" w:color="BDC3C7" w:sz="1"/>
              <w:right w:val="single" w:color="BDC3C7"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222222"/>
                <w:sz w:val="20"/>
                <w:szCs w:val="20"/>
              </w:rPr>
              <w:t xml:space="preserve">Force-multiplier for solo founder. Faster iteration = faster shipping. Annual plan saves $120 vs month-to-month.</w:t>
            </w:r>
          </w:p>
        </w:tc>
      </w:tr>
      <w:tr>
        <w:tc>
          <w:tcPr>
            <w:tcW w:type="dxa" w:w="3600"/>
            <w:tcBorders>
              <w:top w:val="single" w:color="BDC3C7" w:sz="1"/>
              <w:left w:val="single" w:color="BDC3C7" w:sz="1"/>
              <w:bottom w:val="single" w:color="BDC3C7" w:sz="1"/>
              <w:right w:val="single" w:color="BDC3C7" w:sz="1"/>
            </w:tcBorders>
            <w:shd w:fill="F2F3F4" w:val="clear"/>
            <w:tcMar>
              <w:top w:type="dxa" w:w="80"/>
              <w:left w:type="dxa" w:w="120"/>
              <w:bottom w:type="dxa" w:w="80"/>
              <w:right w:type="dxa" w:w="120"/>
            </w:tcMar>
            <w:vAlign w:val="center"/>
          </w:tcPr>
          <w:p>
            <w:pPr>
              <w:jc w:val="left"/>
            </w:pPr>
            <w:r>
              <w:rPr>
                <w:rFonts w:ascii="Arial" w:cs="Arial" w:eastAsia="Arial" w:hAnsi="Arial"/>
                <w:b w:val="false"/>
                <w:bCs w:val="false"/>
                <w:color w:val="222222"/>
                <w:sz w:val="20"/>
                <w:szCs w:val="20"/>
              </w:rPr>
              <w:t xml:space="preserve">Supabase (Postgres + Auth + Storage)</w:t>
            </w:r>
          </w:p>
        </w:tc>
        <w:tc>
          <w:tcPr>
            <w:tcW w:type="dxa" w:w="1600"/>
            <w:tcBorders>
              <w:top w:val="single" w:color="BDC3C7" w:sz="1"/>
              <w:left w:val="single" w:color="BDC3C7" w:sz="1"/>
              <w:bottom w:val="single" w:color="BDC3C7" w:sz="1"/>
              <w:right w:val="single" w:color="BDC3C7" w:sz="1"/>
            </w:tcBorders>
            <w:shd w:fill="F2F3F4" w:val="clear"/>
            <w:tcMar>
              <w:top w:type="dxa" w:w="80"/>
              <w:left w:type="dxa" w:w="120"/>
              <w:bottom w:type="dxa" w:w="80"/>
              <w:right w:type="dxa" w:w="120"/>
            </w:tcMar>
            <w:vAlign w:val="center"/>
          </w:tcPr>
          <w:p>
            <w:pPr>
              <w:jc w:val="right"/>
            </w:pPr>
            <w:r>
              <w:rPr>
                <w:rFonts w:ascii="Arial" w:cs="Arial" w:eastAsia="Arial" w:hAnsi="Arial"/>
                <w:b w:val="false"/>
                <w:bCs w:val="false"/>
                <w:color w:val="222222"/>
                <w:sz w:val="20"/>
                <w:szCs w:val="20"/>
              </w:rPr>
              <w:t xml:space="preserve">$0</w:t>
            </w:r>
          </w:p>
        </w:tc>
        <w:tc>
          <w:tcPr>
            <w:tcW w:type="dxa" w:w="4160"/>
            <w:tcBorders>
              <w:top w:val="single" w:color="BDC3C7" w:sz="1"/>
              <w:left w:val="single" w:color="BDC3C7" w:sz="1"/>
              <w:bottom w:val="single" w:color="BDC3C7" w:sz="1"/>
              <w:right w:val="single" w:color="BDC3C7" w:sz="1"/>
            </w:tcBorders>
            <w:shd w:fill="F2F3F4" w:val="clear"/>
            <w:tcMar>
              <w:top w:type="dxa" w:w="80"/>
              <w:left w:type="dxa" w:w="120"/>
              <w:bottom w:type="dxa" w:w="80"/>
              <w:right w:type="dxa" w:w="120"/>
            </w:tcMar>
            <w:vAlign w:val="center"/>
          </w:tcPr>
          <w:p>
            <w:pPr>
              <w:jc w:val="left"/>
            </w:pPr>
            <w:r>
              <w:rPr>
                <w:rFonts w:ascii="Arial" w:cs="Arial" w:eastAsia="Arial" w:hAnsi="Arial"/>
                <w:b w:val="false"/>
                <w:bCs w:val="false"/>
                <w:color w:val="222222"/>
                <w:sz w:val="20"/>
                <w:szCs w:val="20"/>
              </w:rPr>
              <w:t xml:space="preserve">Free tier covers 500 MB DB, 50K MAU — sufficient through first 1,000 users.</w:t>
            </w:r>
          </w:p>
        </w:tc>
      </w:tr>
      <w:tr>
        <w:tc>
          <w:tcPr>
            <w:tcW w:type="dxa" w:w="3600"/>
            <w:tcBorders>
              <w:top w:val="single" w:color="BDC3C7" w:sz="1"/>
              <w:left w:val="single" w:color="BDC3C7" w:sz="1"/>
              <w:bottom w:val="single" w:color="BDC3C7" w:sz="1"/>
              <w:right w:val="single" w:color="BDC3C7"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222222"/>
                <w:sz w:val="20"/>
                <w:szCs w:val="20"/>
              </w:rPr>
              <w:t xml:space="preserve">PowerSync (offline sync)</w:t>
            </w:r>
          </w:p>
        </w:tc>
        <w:tc>
          <w:tcPr>
            <w:tcW w:type="dxa" w:w="1600"/>
            <w:tcBorders>
              <w:top w:val="single" w:color="BDC3C7" w:sz="1"/>
              <w:left w:val="single" w:color="BDC3C7" w:sz="1"/>
              <w:bottom w:val="single" w:color="BDC3C7" w:sz="1"/>
              <w:right w:val="single" w:color="BDC3C7" w:sz="1"/>
            </w:tcBorders>
            <w:shd w:fill="FFFFFF" w:val="clear"/>
            <w:tcMar>
              <w:top w:type="dxa" w:w="80"/>
              <w:left w:type="dxa" w:w="120"/>
              <w:bottom w:type="dxa" w:w="80"/>
              <w:right w:type="dxa" w:w="120"/>
            </w:tcMar>
            <w:vAlign w:val="center"/>
          </w:tcPr>
          <w:p>
            <w:pPr>
              <w:jc w:val="right"/>
            </w:pPr>
            <w:r>
              <w:rPr>
                <w:rFonts w:ascii="Arial" w:cs="Arial" w:eastAsia="Arial" w:hAnsi="Arial"/>
                <w:b w:val="false"/>
                <w:bCs w:val="false"/>
                <w:color w:val="222222"/>
                <w:sz w:val="20"/>
                <w:szCs w:val="20"/>
              </w:rPr>
              <w:t xml:space="preserve">$0</w:t>
            </w:r>
          </w:p>
        </w:tc>
        <w:tc>
          <w:tcPr>
            <w:tcW w:type="dxa" w:w="4160"/>
            <w:tcBorders>
              <w:top w:val="single" w:color="BDC3C7" w:sz="1"/>
              <w:left w:val="single" w:color="BDC3C7" w:sz="1"/>
              <w:bottom w:val="single" w:color="BDC3C7" w:sz="1"/>
              <w:right w:val="single" w:color="BDC3C7"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222222"/>
                <w:sz w:val="20"/>
                <w:szCs w:val="20"/>
              </w:rPr>
              <w:t xml:space="preserve">Free tier covers 1,000 synced users. Upgrade only when MAU crosses threshold.</w:t>
            </w:r>
          </w:p>
        </w:tc>
      </w:tr>
      <w:tr>
        <w:tc>
          <w:tcPr>
            <w:tcW w:type="dxa" w:w="3600"/>
            <w:tcBorders>
              <w:top w:val="single" w:color="BDC3C7" w:sz="1"/>
              <w:left w:val="single" w:color="BDC3C7" w:sz="1"/>
              <w:bottom w:val="single" w:color="BDC3C7" w:sz="1"/>
              <w:right w:val="single" w:color="BDC3C7" w:sz="1"/>
            </w:tcBorders>
            <w:shd w:fill="F2F3F4" w:val="clear"/>
            <w:tcMar>
              <w:top w:type="dxa" w:w="80"/>
              <w:left w:type="dxa" w:w="120"/>
              <w:bottom w:type="dxa" w:w="80"/>
              <w:right w:type="dxa" w:w="120"/>
            </w:tcMar>
            <w:vAlign w:val="center"/>
          </w:tcPr>
          <w:p>
            <w:pPr>
              <w:jc w:val="left"/>
            </w:pPr>
            <w:r>
              <w:rPr>
                <w:rFonts w:ascii="Arial" w:cs="Arial" w:eastAsia="Arial" w:hAnsi="Arial"/>
                <w:b w:val="false"/>
                <w:bCs w:val="false"/>
                <w:color w:val="222222"/>
                <w:sz w:val="20"/>
                <w:szCs w:val="20"/>
              </w:rPr>
              <w:t xml:space="preserve">PostHog (analytics)</w:t>
            </w:r>
          </w:p>
        </w:tc>
        <w:tc>
          <w:tcPr>
            <w:tcW w:type="dxa" w:w="1600"/>
            <w:tcBorders>
              <w:top w:val="single" w:color="BDC3C7" w:sz="1"/>
              <w:left w:val="single" w:color="BDC3C7" w:sz="1"/>
              <w:bottom w:val="single" w:color="BDC3C7" w:sz="1"/>
              <w:right w:val="single" w:color="BDC3C7" w:sz="1"/>
            </w:tcBorders>
            <w:shd w:fill="F2F3F4" w:val="clear"/>
            <w:tcMar>
              <w:top w:type="dxa" w:w="80"/>
              <w:left w:type="dxa" w:w="120"/>
              <w:bottom w:type="dxa" w:w="80"/>
              <w:right w:type="dxa" w:w="120"/>
            </w:tcMar>
            <w:vAlign w:val="center"/>
          </w:tcPr>
          <w:p>
            <w:pPr>
              <w:jc w:val="right"/>
            </w:pPr>
            <w:r>
              <w:rPr>
                <w:rFonts w:ascii="Arial" w:cs="Arial" w:eastAsia="Arial" w:hAnsi="Arial"/>
                <w:b w:val="false"/>
                <w:bCs w:val="false"/>
                <w:color w:val="222222"/>
                <w:sz w:val="20"/>
                <w:szCs w:val="20"/>
              </w:rPr>
              <w:t xml:space="preserve">$0</w:t>
            </w:r>
          </w:p>
        </w:tc>
        <w:tc>
          <w:tcPr>
            <w:tcW w:type="dxa" w:w="4160"/>
            <w:tcBorders>
              <w:top w:val="single" w:color="BDC3C7" w:sz="1"/>
              <w:left w:val="single" w:color="BDC3C7" w:sz="1"/>
              <w:bottom w:val="single" w:color="BDC3C7" w:sz="1"/>
              <w:right w:val="single" w:color="BDC3C7" w:sz="1"/>
            </w:tcBorders>
            <w:shd w:fill="F2F3F4" w:val="clear"/>
            <w:tcMar>
              <w:top w:type="dxa" w:w="80"/>
              <w:left w:type="dxa" w:w="120"/>
              <w:bottom w:type="dxa" w:w="80"/>
              <w:right w:type="dxa" w:w="120"/>
            </w:tcMar>
            <w:vAlign w:val="center"/>
          </w:tcPr>
          <w:p>
            <w:pPr>
              <w:jc w:val="left"/>
            </w:pPr>
            <w:r>
              <w:rPr>
                <w:rFonts w:ascii="Arial" w:cs="Arial" w:eastAsia="Arial" w:hAnsi="Arial"/>
                <w:b w:val="false"/>
                <w:bCs w:val="false"/>
                <w:color w:val="222222"/>
                <w:sz w:val="20"/>
                <w:szCs w:val="20"/>
              </w:rPr>
              <w:t xml:space="preserve">1M events/month free. Exceeds MVP needs by a large margin.</w:t>
            </w:r>
          </w:p>
        </w:tc>
      </w:tr>
      <w:tr>
        <w:tc>
          <w:tcPr>
            <w:tcW w:type="dxa" w:w="3600"/>
            <w:tcBorders>
              <w:top w:val="single" w:color="BDC3C7" w:sz="1"/>
              <w:left w:val="single" w:color="BDC3C7" w:sz="1"/>
              <w:bottom w:val="single" w:color="BDC3C7" w:sz="1"/>
              <w:right w:val="single" w:color="BDC3C7"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222222"/>
                <w:sz w:val="20"/>
                <w:szCs w:val="20"/>
              </w:rPr>
              <w:t xml:space="preserve">Sentry (crash reporting)</w:t>
            </w:r>
          </w:p>
        </w:tc>
        <w:tc>
          <w:tcPr>
            <w:tcW w:type="dxa" w:w="1600"/>
            <w:tcBorders>
              <w:top w:val="single" w:color="BDC3C7" w:sz="1"/>
              <w:left w:val="single" w:color="BDC3C7" w:sz="1"/>
              <w:bottom w:val="single" w:color="BDC3C7" w:sz="1"/>
              <w:right w:val="single" w:color="BDC3C7" w:sz="1"/>
            </w:tcBorders>
            <w:shd w:fill="FFFFFF" w:val="clear"/>
            <w:tcMar>
              <w:top w:type="dxa" w:w="80"/>
              <w:left w:type="dxa" w:w="120"/>
              <w:bottom w:type="dxa" w:w="80"/>
              <w:right w:type="dxa" w:w="120"/>
            </w:tcMar>
            <w:vAlign w:val="center"/>
          </w:tcPr>
          <w:p>
            <w:pPr>
              <w:jc w:val="right"/>
            </w:pPr>
            <w:r>
              <w:rPr>
                <w:rFonts w:ascii="Arial" w:cs="Arial" w:eastAsia="Arial" w:hAnsi="Arial"/>
                <w:b w:val="false"/>
                <w:bCs w:val="false"/>
                <w:color w:val="222222"/>
                <w:sz w:val="20"/>
                <w:szCs w:val="20"/>
              </w:rPr>
              <w:t xml:space="preserve">$0</w:t>
            </w:r>
          </w:p>
        </w:tc>
        <w:tc>
          <w:tcPr>
            <w:tcW w:type="dxa" w:w="4160"/>
            <w:tcBorders>
              <w:top w:val="single" w:color="BDC3C7" w:sz="1"/>
              <w:left w:val="single" w:color="BDC3C7" w:sz="1"/>
              <w:bottom w:val="single" w:color="BDC3C7" w:sz="1"/>
              <w:right w:val="single" w:color="BDC3C7"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222222"/>
                <w:sz w:val="20"/>
                <w:szCs w:val="20"/>
              </w:rPr>
              <w:t xml:space="preserve">5K errors/month free. Sufficient at MVP scale.</w:t>
            </w:r>
          </w:p>
        </w:tc>
      </w:tr>
      <w:tr>
        <w:tc>
          <w:tcPr>
            <w:tcW w:type="dxa" w:w="3600"/>
            <w:tcBorders>
              <w:top w:val="single" w:color="BDC3C7" w:sz="1"/>
              <w:left w:val="single" w:color="BDC3C7" w:sz="1"/>
              <w:bottom w:val="single" w:color="BDC3C7" w:sz="1"/>
              <w:right w:val="single" w:color="BDC3C7" w:sz="1"/>
            </w:tcBorders>
            <w:shd w:fill="F2F3F4" w:val="clear"/>
            <w:tcMar>
              <w:top w:type="dxa" w:w="80"/>
              <w:left w:type="dxa" w:w="120"/>
              <w:bottom w:type="dxa" w:w="80"/>
              <w:right w:type="dxa" w:w="120"/>
            </w:tcMar>
            <w:vAlign w:val="center"/>
          </w:tcPr>
          <w:p>
            <w:pPr>
              <w:jc w:val="left"/>
            </w:pPr>
            <w:r>
              <w:rPr>
                <w:rFonts w:ascii="Arial" w:cs="Arial" w:eastAsia="Arial" w:hAnsi="Arial"/>
                <w:b w:val="false"/>
                <w:bCs w:val="false"/>
                <w:color w:val="222222"/>
                <w:sz w:val="20"/>
                <w:szCs w:val="20"/>
              </w:rPr>
              <w:t xml:space="preserve">Resend (transactional email)</w:t>
            </w:r>
          </w:p>
        </w:tc>
        <w:tc>
          <w:tcPr>
            <w:tcW w:type="dxa" w:w="1600"/>
            <w:tcBorders>
              <w:top w:val="single" w:color="BDC3C7" w:sz="1"/>
              <w:left w:val="single" w:color="BDC3C7" w:sz="1"/>
              <w:bottom w:val="single" w:color="BDC3C7" w:sz="1"/>
              <w:right w:val="single" w:color="BDC3C7" w:sz="1"/>
            </w:tcBorders>
            <w:shd w:fill="F2F3F4" w:val="clear"/>
            <w:tcMar>
              <w:top w:type="dxa" w:w="80"/>
              <w:left w:type="dxa" w:w="120"/>
              <w:bottom w:type="dxa" w:w="80"/>
              <w:right w:type="dxa" w:w="120"/>
            </w:tcMar>
            <w:vAlign w:val="center"/>
          </w:tcPr>
          <w:p>
            <w:pPr>
              <w:jc w:val="right"/>
            </w:pPr>
            <w:r>
              <w:rPr>
                <w:rFonts w:ascii="Arial" w:cs="Arial" w:eastAsia="Arial" w:hAnsi="Arial"/>
                <w:b w:val="false"/>
                <w:bCs w:val="false"/>
                <w:color w:val="222222"/>
                <w:sz w:val="20"/>
                <w:szCs w:val="20"/>
              </w:rPr>
              <w:t xml:space="preserve">$0</w:t>
            </w:r>
          </w:p>
        </w:tc>
        <w:tc>
          <w:tcPr>
            <w:tcW w:type="dxa" w:w="4160"/>
            <w:tcBorders>
              <w:top w:val="single" w:color="BDC3C7" w:sz="1"/>
              <w:left w:val="single" w:color="BDC3C7" w:sz="1"/>
              <w:bottom w:val="single" w:color="BDC3C7" w:sz="1"/>
              <w:right w:val="single" w:color="BDC3C7" w:sz="1"/>
            </w:tcBorders>
            <w:shd w:fill="F2F3F4" w:val="clear"/>
            <w:tcMar>
              <w:top w:type="dxa" w:w="80"/>
              <w:left w:type="dxa" w:w="120"/>
              <w:bottom w:type="dxa" w:w="80"/>
              <w:right w:type="dxa" w:w="120"/>
            </w:tcMar>
            <w:vAlign w:val="center"/>
          </w:tcPr>
          <w:p>
            <w:pPr>
              <w:jc w:val="left"/>
            </w:pPr>
            <w:r>
              <w:rPr>
                <w:rFonts w:ascii="Arial" w:cs="Arial" w:eastAsia="Arial" w:hAnsi="Arial"/>
                <w:b w:val="false"/>
                <w:bCs w:val="false"/>
                <w:color w:val="222222"/>
                <w:sz w:val="20"/>
                <w:szCs w:val="20"/>
              </w:rPr>
              <w:t xml:space="preserve">3K emails/month free. Covers signups, resets, weekly digests.</w:t>
            </w:r>
          </w:p>
        </w:tc>
      </w:tr>
      <w:tr>
        <w:tc>
          <w:tcPr>
            <w:tcW w:type="dxa" w:w="3600"/>
            <w:tcBorders>
              <w:top w:val="single" w:color="BDC3C7" w:sz="1"/>
              <w:left w:val="single" w:color="BDC3C7" w:sz="1"/>
              <w:bottom w:val="single" w:color="BDC3C7" w:sz="1"/>
              <w:right w:val="single" w:color="BDC3C7"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222222"/>
                <w:sz w:val="20"/>
                <w:szCs w:val="20"/>
              </w:rPr>
              <w:t xml:space="preserve">Firebase Cloud Messaging (push)</w:t>
            </w:r>
          </w:p>
        </w:tc>
        <w:tc>
          <w:tcPr>
            <w:tcW w:type="dxa" w:w="1600"/>
            <w:tcBorders>
              <w:top w:val="single" w:color="BDC3C7" w:sz="1"/>
              <w:left w:val="single" w:color="BDC3C7" w:sz="1"/>
              <w:bottom w:val="single" w:color="BDC3C7" w:sz="1"/>
              <w:right w:val="single" w:color="BDC3C7" w:sz="1"/>
            </w:tcBorders>
            <w:shd w:fill="FFFFFF" w:val="clear"/>
            <w:tcMar>
              <w:top w:type="dxa" w:w="80"/>
              <w:left w:type="dxa" w:w="120"/>
              <w:bottom w:type="dxa" w:w="80"/>
              <w:right w:type="dxa" w:w="120"/>
            </w:tcMar>
            <w:vAlign w:val="center"/>
          </w:tcPr>
          <w:p>
            <w:pPr>
              <w:jc w:val="right"/>
            </w:pPr>
            <w:r>
              <w:rPr>
                <w:rFonts w:ascii="Arial" w:cs="Arial" w:eastAsia="Arial" w:hAnsi="Arial"/>
                <w:b w:val="false"/>
                <w:bCs w:val="false"/>
                <w:color w:val="222222"/>
                <w:sz w:val="20"/>
                <w:szCs w:val="20"/>
              </w:rPr>
              <w:t xml:space="preserve">$0</w:t>
            </w:r>
          </w:p>
        </w:tc>
        <w:tc>
          <w:tcPr>
            <w:tcW w:type="dxa" w:w="4160"/>
            <w:tcBorders>
              <w:top w:val="single" w:color="BDC3C7" w:sz="1"/>
              <w:left w:val="single" w:color="BDC3C7" w:sz="1"/>
              <w:bottom w:val="single" w:color="BDC3C7" w:sz="1"/>
              <w:right w:val="single" w:color="BDC3C7"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222222"/>
                <w:sz w:val="20"/>
                <w:szCs w:val="20"/>
              </w:rPr>
              <w:t xml:space="preserve">Always free. No meaningful alternative.</w:t>
            </w:r>
          </w:p>
        </w:tc>
      </w:tr>
      <w:tr>
        <w:tc>
          <w:tcPr>
            <w:tcW w:type="dxa" w:w="3600"/>
            <w:tcBorders>
              <w:top w:val="single" w:color="BDC3C7" w:sz="1"/>
              <w:left w:val="single" w:color="BDC3C7" w:sz="1"/>
              <w:bottom w:val="single" w:color="BDC3C7" w:sz="1"/>
              <w:right w:val="single" w:color="BDC3C7" w:sz="1"/>
            </w:tcBorders>
            <w:shd w:fill="F2F3F4" w:val="clear"/>
            <w:tcMar>
              <w:top w:type="dxa" w:w="80"/>
              <w:left w:type="dxa" w:w="120"/>
              <w:bottom w:type="dxa" w:w="80"/>
              <w:right w:type="dxa" w:w="120"/>
            </w:tcMar>
            <w:vAlign w:val="center"/>
          </w:tcPr>
          <w:p>
            <w:pPr>
              <w:jc w:val="left"/>
            </w:pPr>
            <w:r>
              <w:rPr>
                <w:rFonts w:ascii="Arial" w:cs="Arial" w:eastAsia="Arial" w:hAnsi="Arial"/>
                <w:b w:val="false"/>
                <w:bCs w:val="false"/>
                <w:color w:val="222222"/>
                <w:sz w:val="20"/>
                <w:szCs w:val="20"/>
              </w:rPr>
              <w:t xml:space="preserve">Claude Haiku 4.5 (plan generation)</w:t>
            </w:r>
          </w:p>
        </w:tc>
        <w:tc>
          <w:tcPr>
            <w:tcW w:type="dxa" w:w="1600"/>
            <w:tcBorders>
              <w:top w:val="single" w:color="BDC3C7" w:sz="1"/>
              <w:left w:val="single" w:color="BDC3C7" w:sz="1"/>
              <w:bottom w:val="single" w:color="BDC3C7" w:sz="1"/>
              <w:right w:val="single" w:color="BDC3C7" w:sz="1"/>
            </w:tcBorders>
            <w:shd w:fill="F2F3F4" w:val="clear"/>
            <w:tcMar>
              <w:top w:type="dxa" w:w="80"/>
              <w:left w:type="dxa" w:w="120"/>
              <w:bottom w:type="dxa" w:w="80"/>
              <w:right w:type="dxa" w:w="120"/>
            </w:tcMar>
            <w:vAlign w:val="center"/>
          </w:tcPr>
          <w:p>
            <w:pPr>
              <w:jc w:val="right"/>
            </w:pPr>
            <w:r>
              <w:rPr>
                <w:rFonts w:ascii="Arial" w:cs="Arial" w:eastAsia="Arial" w:hAnsi="Arial"/>
                <w:b w:val="false"/>
                <w:bCs w:val="false"/>
                <w:color w:val="222222"/>
                <w:sz w:val="20"/>
                <w:szCs w:val="20"/>
              </w:rPr>
              <w:t xml:space="preserve">$0</w:t>
            </w:r>
          </w:p>
        </w:tc>
        <w:tc>
          <w:tcPr>
            <w:tcW w:type="dxa" w:w="4160"/>
            <w:tcBorders>
              <w:top w:val="single" w:color="BDC3C7" w:sz="1"/>
              <w:left w:val="single" w:color="BDC3C7" w:sz="1"/>
              <w:bottom w:val="single" w:color="BDC3C7" w:sz="1"/>
              <w:right w:val="single" w:color="BDC3C7" w:sz="1"/>
            </w:tcBorders>
            <w:shd w:fill="F2F3F4" w:val="clear"/>
            <w:tcMar>
              <w:top w:type="dxa" w:w="80"/>
              <w:left w:type="dxa" w:w="120"/>
              <w:bottom w:type="dxa" w:w="80"/>
              <w:right w:type="dxa" w:w="120"/>
            </w:tcMar>
            <w:vAlign w:val="center"/>
          </w:tcPr>
          <w:p>
            <w:pPr>
              <w:jc w:val="left"/>
            </w:pPr>
            <w:r>
              <w:rPr>
                <w:rFonts w:ascii="Arial" w:cs="Arial" w:eastAsia="Arial" w:hAnsi="Arial"/>
                <w:b w:val="false"/>
                <w:bCs w:val="false"/>
                <w:color w:val="222222"/>
                <w:sz w:val="20"/>
                <w:szCs w:val="20"/>
              </w:rPr>
              <w:t xml:space="preserve">Variable cost emerges at ~50 paid users (~$25/yr). Pre-revenue: negligible.</w:t>
            </w:r>
          </w:p>
        </w:tc>
      </w:tr>
    </w:tbl>
    <w:p>
      <w:pPr>
        <w:spacing w:after="0" w:before="120"/>
      </w:pPr>
    </w:p>
    <w:p>
      <w:pPr>
        <w:spacing w:after="80" w:before="80"/>
      </w:pPr>
      <w:r>
        <w:rPr>
          <w:rFonts w:ascii="Arial" w:cs="Arial" w:eastAsia="Arial" w:hAnsi="Arial"/>
          <w:b/>
          <w:bCs/>
          <w:i w:val="false"/>
          <w:iCs w:val="false"/>
          <w:color w:val="D35400"/>
          <w:sz w:val="22"/>
          <w:szCs w:val="22"/>
        </w:rPr>
        <w:t xml:space="preserve">Dev team steel-man: </w:t>
      </w:r>
      <w:r>
        <w:rPr>
          <w:rFonts w:ascii="Arial" w:cs="Arial" w:eastAsia="Arial" w:hAnsi="Arial"/>
          <w:b w:val="false"/>
          <w:bCs w:val="false"/>
          <w:i w:val="false"/>
          <w:iCs w:val="false"/>
          <w:color w:val="444444"/>
          <w:sz w:val="22"/>
          <w:szCs w:val="22"/>
        </w:rPr>
        <w:t xml:space="preserve">$120 on Cursor is $120 not available for paid user acquisition. At a $2–4 Apple Search Ads CPI, that buys 30–60 installs. A solo founder shipping slowly with free tools can still build a good product. </w:t>
      </w:r>
      <w:r>
        <w:rPr>
          <w:rFonts w:ascii="Arial" w:cs="Arial" w:eastAsia="Arial" w:hAnsi="Arial"/>
          <w:b/>
          <w:bCs/>
          <w:i w:val="false"/>
          <w:iCs w:val="false"/>
          <w:color w:val="1E8449"/>
          <w:sz w:val="22"/>
          <w:szCs w:val="22"/>
        </w:rPr>
        <w:t xml:space="preserve">Counter: </w:t>
      </w:r>
      <w:r>
        <w:rPr>
          <w:rFonts w:ascii="Arial" w:cs="Arial" w:eastAsia="Arial" w:hAnsi="Arial"/>
          <w:b w:val="false"/>
          <w:bCs w:val="false"/>
          <w:i w:val="false"/>
          <w:iCs w:val="false"/>
          <w:color w:val="444444"/>
          <w:sz w:val="22"/>
          <w:szCs w:val="22"/>
        </w:rPr>
        <w:t xml:space="preserve">Pre-traction, the bottleneck is shipping velocity and iteration speed, not install volume. Every week saved shipping is a week earlier that organic compounding begins. Cursor's impact on cycle time — especially for a cross-platform (Flutter or React Native) codebase — is measurable. The $120 is recovered by one annual subscriber on any reasonable price point.</w:t>
      </w:r>
    </w:p>
    <w:p>
      <w:pPr>
        <w:spacing w:after="0" w:before="160"/>
      </w:pPr>
    </w:p>
    <w:p>
      <w:pPr>
        <w:pStyle w:val="Heading2"/>
      </w:pPr>
      <w:r>
        <w:rPr>
          <w:rFonts w:ascii="Arial" w:cs="Arial" w:eastAsia="Arial" w:hAnsi="Arial"/>
          <w:b/>
          <w:bCs/>
          <w:color w:val="2E86C1"/>
          <w:sz w:val="26"/>
          <w:szCs w:val="26"/>
        </w:rPr>
        <w:t xml:space="preserve">3b. Marketing Team — $360</w:t>
      </w:r>
    </w:p>
    <w:p>
      <w:pPr>
        <w:spacing w:after="80" w:before="80"/>
        <w:jc w:val="left"/>
      </w:pPr>
      <w:r>
        <w:rPr>
          <w:rFonts w:ascii="Arial" w:cs="Arial" w:eastAsia="Arial" w:hAnsi="Arial"/>
          <w:b w:val="false"/>
          <w:bCs w:val="false"/>
          <w:i w:val="false"/>
          <w:iCs w:val="false"/>
          <w:color w:val="222222"/>
          <w:sz w:val="22"/>
          <w:szCs w:val="22"/>
        </w:rPr>
        <w:t xml:space="preserve">The Marketing team prioritized four things in order: (1) a store-ready brand asset to avoid conversion loss at the icon level, (2) a front-loaded ASO research burst, (3) early paid signal from Apple Search Ads, and (4) zero cash outlay on channels that require scale to function (Meta, TikTok, micro-influencer). All micro-influencer activity proceeds on revenue-share only.</w:t>
      </w:r>
    </w:p>
    <w:p>
      <w:pPr>
        <w:spacing w:after="0" w:before="10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600"/>
        <w:gridCol w:w="1600"/>
        <w:gridCol w:w="4160"/>
      </w:tblGrid>
      <w:tr>
        <w:tc>
          <w:tcPr>
            <w:tcW w:type="dxa" w:w="3600"/>
            <w:tcBorders>
              <w:top w:val="single" w:color="FFFFFF" w:sz="1"/>
              <w:left w:val="single" w:color="FFFFFF" w:sz="1"/>
              <w:bottom w:val="single" w:color="FFFFFF" w:sz="1"/>
              <w:right w:val="single" w:color="FFFFFF" w:sz="1"/>
            </w:tcBorders>
            <w:shd w:fill="2E86C1" w:val="clear"/>
            <w:tcMar>
              <w:top w:type="dxa" w:w="80"/>
              <w:left w:type="dxa" w:w="120"/>
              <w:bottom w:type="dxa" w:w="80"/>
              <w:right w:type="dxa" w:w="120"/>
            </w:tcMar>
            <w:vAlign w:val="center"/>
          </w:tcPr>
          <w:p>
            <w:pPr>
              <w:jc w:val="left"/>
            </w:pPr>
            <w:r>
              <w:rPr>
                <w:rFonts w:ascii="Arial" w:cs="Arial" w:eastAsia="Arial" w:hAnsi="Arial"/>
                <w:b/>
                <w:bCs/>
                <w:color w:val="FFFFFF"/>
                <w:sz w:val="20"/>
                <w:szCs w:val="20"/>
              </w:rPr>
              <w:t xml:space="preserve">Item</w:t>
            </w:r>
          </w:p>
        </w:tc>
        <w:tc>
          <w:tcPr>
            <w:tcW w:type="dxa" w:w="1600"/>
            <w:tcBorders>
              <w:top w:val="single" w:color="FFFFFF" w:sz="1"/>
              <w:left w:val="single" w:color="FFFFFF" w:sz="1"/>
              <w:bottom w:val="single" w:color="FFFFFF" w:sz="1"/>
              <w:right w:val="single" w:color="FFFFFF" w:sz="1"/>
            </w:tcBorders>
            <w:shd w:fill="2E86C1" w:val="clear"/>
            <w:tcMar>
              <w:top w:type="dxa" w:w="80"/>
              <w:left w:type="dxa" w:w="120"/>
              <w:bottom w:type="dxa" w:w="80"/>
              <w:right w:type="dxa" w:w="120"/>
            </w:tcMar>
            <w:vAlign w:val="center"/>
          </w:tcPr>
          <w:p>
            <w:pPr>
              <w:jc w:val="right"/>
            </w:pPr>
            <w:r>
              <w:rPr>
                <w:rFonts w:ascii="Arial" w:cs="Arial" w:eastAsia="Arial" w:hAnsi="Arial"/>
                <w:b/>
                <w:bCs/>
                <w:color w:val="FFFFFF"/>
                <w:sz w:val="20"/>
                <w:szCs w:val="20"/>
              </w:rPr>
              <w:t xml:space="preserve">Amount</w:t>
            </w:r>
          </w:p>
        </w:tc>
        <w:tc>
          <w:tcPr>
            <w:tcW w:type="dxa" w:w="4160"/>
            <w:tcBorders>
              <w:top w:val="single" w:color="FFFFFF" w:sz="1"/>
              <w:left w:val="single" w:color="FFFFFF" w:sz="1"/>
              <w:bottom w:val="single" w:color="FFFFFF" w:sz="1"/>
              <w:right w:val="single" w:color="FFFFFF" w:sz="1"/>
            </w:tcBorders>
            <w:shd w:fill="2E86C1" w:val="clear"/>
            <w:tcMar>
              <w:top w:type="dxa" w:w="80"/>
              <w:left w:type="dxa" w:w="120"/>
              <w:bottom w:type="dxa" w:w="80"/>
              <w:right w:type="dxa" w:w="120"/>
            </w:tcMar>
            <w:vAlign w:val="center"/>
          </w:tcPr>
          <w:p>
            <w:pPr>
              <w:jc w:val="left"/>
            </w:pPr>
            <w:r>
              <w:rPr>
                <w:rFonts w:ascii="Arial" w:cs="Arial" w:eastAsia="Arial" w:hAnsi="Arial"/>
                <w:b/>
                <w:bCs/>
                <w:color w:val="FFFFFF"/>
                <w:sz w:val="20"/>
                <w:szCs w:val="20"/>
              </w:rPr>
              <w:t xml:space="preserve">Rationale</w:t>
            </w:r>
          </w:p>
        </w:tc>
      </w:tr>
      <w:tr>
        <w:tc>
          <w:tcPr>
            <w:tcW w:type="dxa" w:w="3600"/>
            <w:tcBorders>
              <w:top w:val="single" w:color="BDC3C7" w:sz="1"/>
              <w:left w:val="single" w:color="BDC3C7" w:sz="1"/>
              <w:bottom w:val="single" w:color="BDC3C7" w:sz="1"/>
              <w:right w:val="single" w:color="BDC3C7"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222222"/>
                <w:sz w:val="20"/>
                <w:szCs w:val="20"/>
              </w:rPr>
              <w:t xml:space="preserve">App icon + screenshot design (Canva)</w:t>
            </w:r>
          </w:p>
        </w:tc>
        <w:tc>
          <w:tcPr>
            <w:tcW w:type="dxa" w:w="1600"/>
            <w:tcBorders>
              <w:top w:val="single" w:color="BDC3C7" w:sz="1"/>
              <w:left w:val="single" w:color="BDC3C7" w:sz="1"/>
              <w:bottom w:val="single" w:color="BDC3C7" w:sz="1"/>
              <w:right w:val="single" w:color="BDC3C7" w:sz="1"/>
            </w:tcBorders>
            <w:shd w:fill="FFFFFF" w:val="clear"/>
            <w:tcMar>
              <w:top w:type="dxa" w:w="80"/>
              <w:left w:type="dxa" w:w="120"/>
              <w:bottom w:type="dxa" w:w="80"/>
              <w:right w:type="dxa" w:w="120"/>
            </w:tcMar>
            <w:vAlign w:val="center"/>
          </w:tcPr>
          <w:p>
            <w:pPr>
              <w:jc w:val="right"/>
            </w:pPr>
            <w:r>
              <w:rPr>
                <w:rFonts w:ascii="Arial" w:cs="Arial" w:eastAsia="Arial" w:hAnsi="Arial"/>
                <w:b w:val="false"/>
                <w:bCs w:val="false"/>
                <w:color w:val="222222"/>
                <w:sz w:val="20"/>
                <w:szCs w:val="20"/>
              </w:rPr>
              <w:t xml:space="preserve">$0</w:t>
            </w:r>
          </w:p>
        </w:tc>
        <w:tc>
          <w:tcPr>
            <w:tcW w:type="dxa" w:w="4160"/>
            <w:tcBorders>
              <w:top w:val="single" w:color="BDC3C7" w:sz="1"/>
              <w:left w:val="single" w:color="BDC3C7" w:sz="1"/>
              <w:bottom w:val="single" w:color="BDC3C7" w:sz="1"/>
              <w:right w:val="single" w:color="BDC3C7"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222222"/>
                <w:sz w:val="20"/>
                <w:szCs w:val="20"/>
              </w:rPr>
              <w:t xml:space="preserve">Canva free tier sufficient for launch-quality assets. Revisit post-revenue.</w:t>
            </w:r>
          </w:p>
        </w:tc>
      </w:tr>
      <w:tr>
        <w:tc>
          <w:tcPr>
            <w:tcW w:type="dxa" w:w="3600"/>
            <w:tcBorders>
              <w:top w:val="single" w:color="BDC3C7" w:sz="1"/>
              <w:left w:val="single" w:color="BDC3C7" w:sz="1"/>
              <w:bottom w:val="single" w:color="BDC3C7" w:sz="1"/>
              <w:right w:val="single" w:color="BDC3C7" w:sz="1"/>
            </w:tcBorders>
            <w:shd w:fill="F2F3F4" w:val="clear"/>
            <w:tcMar>
              <w:top w:type="dxa" w:w="80"/>
              <w:left w:type="dxa" w:w="120"/>
              <w:bottom w:type="dxa" w:w="80"/>
              <w:right w:type="dxa" w:w="120"/>
            </w:tcMar>
            <w:vAlign w:val="center"/>
          </w:tcPr>
          <w:p>
            <w:pPr>
              <w:jc w:val="left"/>
            </w:pPr>
            <w:r>
              <w:rPr>
                <w:rFonts w:ascii="Arial" w:cs="Arial" w:eastAsia="Arial" w:hAnsi="Arial"/>
                <w:b w:val="false"/>
                <w:bCs w:val="false"/>
                <w:color w:val="222222"/>
                <w:sz w:val="20"/>
                <w:szCs w:val="20"/>
              </w:rPr>
              <w:t xml:space="preserve">Logo / wordmark (Fiverr micro-task)</w:t>
            </w:r>
          </w:p>
        </w:tc>
        <w:tc>
          <w:tcPr>
            <w:tcW w:type="dxa" w:w="1600"/>
            <w:tcBorders>
              <w:top w:val="single" w:color="BDC3C7" w:sz="1"/>
              <w:left w:val="single" w:color="BDC3C7" w:sz="1"/>
              <w:bottom w:val="single" w:color="BDC3C7" w:sz="1"/>
              <w:right w:val="single" w:color="BDC3C7" w:sz="1"/>
            </w:tcBorders>
            <w:shd w:fill="F2F3F4" w:val="clear"/>
            <w:tcMar>
              <w:top w:type="dxa" w:w="80"/>
              <w:left w:type="dxa" w:w="120"/>
              <w:bottom w:type="dxa" w:w="80"/>
              <w:right w:type="dxa" w:w="120"/>
            </w:tcMar>
            <w:vAlign w:val="center"/>
          </w:tcPr>
          <w:p>
            <w:pPr>
              <w:jc w:val="right"/>
            </w:pPr>
            <w:r>
              <w:rPr>
                <w:rFonts w:ascii="Arial" w:cs="Arial" w:eastAsia="Arial" w:hAnsi="Arial"/>
                <w:b/>
                <w:bCs/>
                <w:color w:val="222222"/>
                <w:sz w:val="20"/>
                <w:szCs w:val="20"/>
              </w:rPr>
              <w:t xml:space="preserve">$50</w:t>
            </w:r>
          </w:p>
        </w:tc>
        <w:tc>
          <w:tcPr>
            <w:tcW w:type="dxa" w:w="4160"/>
            <w:tcBorders>
              <w:top w:val="single" w:color="BDC3C7" w:sz="1"/>
              <w:left w:val="single" w:color="BDC3C7" w:sz="1"/>
              <w:bottom w:val="single" w:color="BDC3C7" w:sz="1"/>
              <w:right w:val="single" w:color="BDC3C7" w:sz="1"/>
            </w:tcBorders>
            <w:shd w:fill="F2F3F4" w:val="clear"/>
            <w:tcMar>
              <w:top w:type="dxa" w:w="80"/>
              <w:left w:type="dxa" w:w="120"/>
              <w:bottom w:type="dxa" w:w="80"/>
              <w:right w:type="dxa" w:w="120"/>
            </w:tcMar>
            <w:vAlign w:val="center"/>
          </w:tcPr>
          <w:p>
            <w:pPr>
              <w:jc w:val="left"/>
            </w:pPr>
            <w:r>
              <w:rPr>
                <w:rFonts w:ascii="Arial" w:cs="Arial" w:eastAsia="Arial" w:hAnsi="Arial"/>
                <w:b w:val="false"/>
                <w:bCs w:val="false"/>
                <w:color w:val="222222"/>
                <w:sz w:val="20"/>
                <w:szCs w:val="20"/>
              </w:rPr>
              <w:t xml:space="preserve">App Store and Play Store require a polished icon. $50 Fiverr brief delivers launch-ready mark.</w:t>
            </w:r>
          </w:p>
        </w:tc>
      </w:tr>
      <w:tr>
        <w:tc>
          <w:tcPr>
            <w:tcW w:type="dxa" w:w="3600"/>
            <w:tcBorders>
              <w:top w:val="single" w:color="BDC3C7" w:sz="1"/>
              <w:left w:val="single" w:color="BDC3C7" w:sz="1"/>
              <w:bottom w:val="single" w:color="BDC3C7" w:sz="1"/>
              <w:right w:val="single" w:color="BDC3C7"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222222"/>
                <w:sz w:val="20"/>
                <w:szCs w:val="20"/>
              </w:rPr>
              <w:t xml:space="preserve">Privacy Policy (Termly free tier)</w:t>
            </w:r>
          </w:p>
        </w:tc>
        <w:tc>
          <w:tcPr>
            <w:tcW w:type="dxa" w:w="1600"/>
            <w:tcBorders>
              <w:top w:val="single" w:color="BDC3C7" w:sz="1"/>
              <w:left w:val="single" w:color="BDC3C7" w:sz="1"/>
              <w:bottom w:val="single" w:color="BDC3C7" w:sz="1"/>
              <w:right w:val="single" w:color="BDC3C7" w:sz="1"/>
            </w:tcBorders>
            <w:shd w:fill="FFFFFF" w:val="clear"/>
            <w:tcMar>
              <w:top w:type="dxa" w:w="80"/>
              <w:left w:type="dxa" w:w="120"/>
              <w:bottom w:type="dxa" w:w="80"/>
              <w:right w:type="dxa" w:w="120"/>
            </w:tcMar>
            <w:vAlign w:val="center"/>
          </w:tcPr>
          <w:p>
            <w:pPr>
              <w:jc w:val="right"/>
            </w:pPr>
            <w:r>
              <w:rPr>
                <w:rFonts w:ascii="Arial" w:cs="Arial" w:eastAsia="Arial" w:hAnsi="Arial"/>
                <w:b w:val="false"/>
                <w:bCs w:val="false"/>
                <w:color w:val="222222"/>
                <w:sz w:val="20"/>
                <w:szCs w:val="20"/>
              </w:rPr>
              <w:t xml:space="preserve">$0</w:t>
            </w:r>
          </w:p>
        </w:tc>
        <w:tc>
          <w:tcPr>
            <w:tcW w:type="dxa" w:w="4160"/>
            <w:tcBorders>
              <w:top w:val="single" w:color="BDC3C7" w:sz="1"/>
              <w:left w:val="single" w:color="BDC3C7" w:sz="1"/>
              <w:bottom w:val="single" w:color="BDC3C7" w:sz="1"/>
              <w:right w:val="single" w:color="BDC3C7"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222222"/>
                <w:sz w:val="20"/>
                <w:szCs w:val="20"/>
              </w:rPr>
              <w:t xml:space="preserve">Termly free covers App Store and Play Store submission requirements.</w:t>
            </w:r>
          </w:p>
        </w:tc>
      </w:tr>
      <w:tr>
        <w:tc>
          <w:tcPr>
            <w:tcW w:type="dxa" w:w="3600"/>
            <w:tcBorders>
              <w:top w:val="single" w:color="BDC3C7" w:sz="1"/>
              <w:left w:val="single" w:color="BDC3C7" w:sz="1"/>
              <w:bottom w:val="single" w:color="BDC3C7" w:sz="1"/>
              <w:right w:val="single" w:color="BDC3C7" w:sz="1"/>
            </w:tcBorders>
            <w:shd w:fill="F2F3F4" w:val="clear"/>
            <w:tcMar>
              <w:top w:type="dxa" w:w="80"/>
              <w:left w:type="dxa" w:w="120"/>
              <w:bottom w:type="dxa" w:w="80"/>
              <w:right w:type="dxa" w:w="120"/>
            </w:tcMar>
            <w:vAlign w:val="center"/>
          </w:tcPr>
          <w:p>
            <w:pPr>
              <w:jc w:val="left"/>
            </w:pPr>
            <w:r>
              <w:rPr>
                <w:rFonts w:ascii="Arial" w:cs="Arial" w:eastAsia="Arial" w:hAnsi="Arial"/>
                <w:b w:val="false"/>
                <w:bCs w:val="false"/>
                <w:color w:val="222222"/>
                <w:sz w:val="20"/>
                <w:szCs w:val="20"/>
              </w:rPr>
              <w:t xml:space="preserve">ASO tooling — AppTweak Lite (2 months)</w:t>
            </w:r>
          </w:p>
        </w:tc>
        <w:tc>
          <w:tcPr>
            <w:tcW w:type="dxa" w:w="1600"/>
            <w:tcBorders>
              <w:top w:val="single" w:color="BDC3C7" w:sz="1"/>
              <w:left w:val="single" w:color="BDC3C7" w:sz="1"/>
              <w:bottom w:val="single" w:color="BDC3C7" w:sz="1"/>
              <w:right w:val="single" w:color="BDC3C7" w:sz="1"/>
            </w:tcBorders>
            <w:shd w:fill="F2F3F4" w:val="clear"/>
            <w:tcMar>
              <w:top w:type="dxa" w:w="80"/>
              <w:left w:type="dxa" w:w="120"/>
              <w:bottom w:type="dxa" w:w="80"/>
              <w:right w:type="dxa" w:w="120"/>
            </w:tcMar>
            <w:vAlign w:val="center"/>
          </w:tcPr>
          <w:p>
            <w:pPr>
              <w:jc w:val="right"/>
            </w:pPr>
            <w:r>
              <w:rPr>
                <w:rFonts w:ascii="Arial" w:cs="Arial" w:eastAsia="Arial" w:hAnsi="Arial"/>
                <w:b/>
                <w:bCs/>
                <w:color w:val="222222"/>
                <w:sz w:val="20"/>
                <w:szCs w:val="20"/>
              </w:rPr>
              <w:t xml:space="preserve">$60</w:t>
            </w:r>
          </w:p>
        </w:tc>
        <w:tc>
          <w:tcPr>
            <w:tcW w:type="dxa" w:w="4160"/>
            <w:tcBorders>
              <w:top w:val="single" w:color="BDC3C7" w:sz="1"/>
              <w:left w:val="single" w:color="BDC3C7" w:sz="1"/>
              <w:bottom w:val="single" w:color="BDC3C7" w:sz="1"/>
              <w:right w:val="single" w:color="BDC3C7" w:sz="1"/>
            </w:tcBorders>
            <w:shd w:fill="F2F3F4" w:val="clear"/>
            <w:tcMar>
              <w:top w:type="dxa" w:w="80"/>
              <w:left w:type="dxa" w:w="120"/>
              <w:bottom w:type="dxa" w:w="80"/>
              <w:right w:type="dxa" w:w="120"/>
            </w:tcMar>
            <w:vAlign w:val="center"/>
          </w:tcPr>
          <w:p>
            <w:pPr>
              <w:jc w:val="left"/>
            </w:pPr>
            <w:r>
              <w:rPr>
                <w:rFonts w:ascii="Arial" w:cs="Arial" w:eastAsia="Arial" w:hAnsi="Arial"/>
                <w:b w:val="false"/>
                <w:bCs w:val="false"/>
                <w:color w:val="222222"/>
                <w:sz w:val="20"/>
                <w:szCs w:val="20"/>
              </w:rPr>
              <w:t xml:space="preserve">Front-loaded keyword research burst: 2 months at $30/month, then cancel. One-time effort that compounds for years.</w:t>
            </w:r>
          </w:p>
        </w:tc>
      </w:tr>
      <w:tr>
        <w:tc>
          <w:tcPr>
            <w:tcW w:type="dxa" w:w="3600"/>
            <w:tcBorders>
              <w:top w:val="single" w:color="BDC3C7" w:sz="1"/>
              <w:left w:val="single" w:color="BDC3C7" w:sz="1"/>
              <w:bottom w:val="single" w:color="BDC3C7" w:sz="1"/>
              <w:right w:val="single" w:color="BDC3C7"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222222"/>
                <w:sz w:val="20"/>
                <w:szCs w:val="20"/>
              </w:rPr>
              <w:t xml:space="preserve">Apple Search Ads — learning budget</w:t>
            </w:r>
          </w:p>
        </w:tc>
        <w:tc>
          <w:tcPr>
            <w:tcW w:type="dxa" w:w="1600"/>
            <w:tcBorders>
              <w:top w:val="single" w:color="BDC3C7" w:sz="1"/>
              <w:left w:val="single" w:color="BDC3C7" w:sz="1"/>
              <w:bottom w:val="single" w:color="BDC3C7" w:sz="1"/>
              <w:right w:val="single" w:color="BDC3C7" w:sz="1"/>
            </w:tcBorders>
            <w:shd w:fill="FFFFFF" w:val="clear"/>
            <w:tcMar>
              <w:top w:type="dxa" w:w="80"/>
              <w:left w:type="dxa" w:w="120"/>
              <w:bottom w:type="dxa" w:w="80"/>
              <w:right w:type="dxa" w:w="120"/>
            </w:tcMar>
            <w:vAlign w:val="center"/>
          </w:tcPr>
          <w:p>
            <w:pPr>
              <w:jc w:val="right"/>
            </w:pPr>
            <w:r>
              <w:rPr>
                <w:rFonts w:ascii="Arial" w:cs="Arial" w:eastAsia="Arial" w:hAnsi="Arial"/>
                <w:b/>
                <w:bCs/>
                <w:color w:val="222222"/>
                <w:sz w:val="20"/>
                <w:szCs w:val="20"/>
              </w:rPr>
              <w:t xml:space="preserve">$250</w:t>
            </w:r>
          </w:p>
        </w:tc>
        <w:tc>
          <w:tcPr>
            <w:tcW w:type="dxa" w:w="4160"/>
            <w:tcBorders>
              <w:top w:val="single" w:color="BDC3C7" w:sz="1"/>
              <w:left w:val="single" w:color="BDC3C7" w:sz="1"/>
              <w:bottom w:val="single" w:color="BDC3C7" w:sz="1"/>
              <w:right w:val="single" w:color="BDC3C7"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222222"/>
                <w:sz w:val="20"/>
                <w:szCs w:val="20"/>
              </w:rPr>
              <w:t xml:space="preserve">Fastest signal available. Brand + competitor keywords. Goal: conversion rate data, not scale. Approx. 5–8 weeks of $30–50/week tests.</w:t>
            </w:r>
          </w:p>
        </w:tc>
      </w:tr>
      <w:tr>
        <w:tc>
          <w:tcPr>
            <w:tcW w:type="dxa" w:w="3600"/>
            <w:tcBorders>
              <w:top w:val="single" w:color="BDC3C7" w:sz="1"/>
              <w:left w:val="single" w:color="BDC3C7" w:sz="1"/>
              <w:bottom w:val="single" w:color="BDC3C7" w:sz="1"/>
              <w:right w:val="single" w:color="BDC3C7" w:sz="1"/>
            </w:tcBorders>
            <w:shd w:fill="F2F3F4" w:val="clear"/>
            <w:tcMar>
              <w:top w:type="dxa" w:w="80"/>
              <w:left w:type="dxa" w:w="120"/>
              <w:bottom w:type="dxa" w:w="80"/>
              <w:right w:type="dxa" w:w="120"/>
            </w:tcMar>
            <w:vAlign w:val="center"/>
          </w:tcPr>
          <w:p>
            <w:pPr>
              <w:jc w:val="left"/>
            </w:pPr>
            <w:r>
              <w:rPr>
                <w:rFonts w:ascii="Arial" w:cs="Arial" w:eastAsia="Arial" w:hAnsi="Arial"/>
                <w:b w:val="false"/>
                <w:bCs w:val="false"/>
                <w:color w:val="222222"/>
                <w:sz w:val="20"/>
                <w:szCs w:val="20"/>
              </w:rPr>
              <w:t xml:space="preserve">Meta/TikTok small test</w:t>
            </w:r>
          </w:p>
        </w:tc>
        <w:tc>
          <w:tcPr>
            <w:tcW w:type="dxa" w:w="1600"/>
            <w:tcBorders>
              <w:top w:val="single" w:color="BDC3C7" w:sz="1"/>
              <w:left w:val="single" w:color="BDC3C7" w:sz="1"/>
              <w:bottom w:val="single" w:color="BDC3C7" w:sz="1"/>
              <w:right w:val="single" w:color="BDC3C7" w:sz="1"/>
            </w:tcBorders>
            <w:shd w:fill="F2F3F4" w:val="clear"/>
            <w:tcMar>
              <w:top w:type="dxa" w:w="80"/>
              <w:left w:type="dxa" w:w="120"/>
              <w:bottom w:type="dxa" w:w="80"/>
              <w:right w:type="dxa" w:w="120"/>
            </w:tcMar>
            <w:vAlign w:val="center"/>
          </w:tcPr>
          <w:p>
            <w:pPr>
              <w:jc w:val="right"/>
            </w:pPr>
            <w:r>
              <w:rPr>
                <w:rFonts w:ascii="Arial" w:cs="Arial" w:eastAsia="Arial" w:hAnsi="Arial"/>
                <w:b w:val="false"/>
                <w:bCs w:val="false"/>
                <w:color w:val="222222"/>
                <w:sz w:val="20"/>
                <w:szCs w:val="20"/>
              </w:rPr>
              <w:t xml:space="preserve">$0</w:t>
            </w:r>
          </w:p>
        </w:tc>
        <w:tc>
          <w:tcPr>
            <w:tcW w:type="dxa" w:w="4160"/>
            <w:tcBorders>
              <w:top w:val="single" w:color="BDC3C7" w:sz="1"/>
              <w:left w:val="single" w:color="BDC3C7" w:sz="1"/>
              <w:bottom w:val="single" w:color="BDC3C7" w:sz="1"/>
              <w:right w:val="single" w:color="BDC3C7" w:sz="1"/>
            </w:tcBorders>
            <w:shd w:fill="F2F3F4" w:val="clear"/>
            <w:tcMar>
              <w:top w:type="dxa" w:w="80"/>
              <w:left w:type="dxa" w:w="120"/>
              <w:bottom w:type="dxa" w:w="80"/>
              <w:right w:type="dxa" w:w="120"/>
            </w:tcMar>
            <w:vAlign w:val="center"/>
          </w:tcPr>
          <w:p>
            <w:pPr>
              <w:jc w:val="left"/>
            </w:pPr>
            <w:r>
              <w:rPr>
                <w:rFonts w:ascii="Arial" w:cs="Arial" w:eastAsia="Arial" w:hAnsi="Arial"/>
                <w:b w:val="false"/>
                <w:bCs w:val="false"/>
                <w:color w:val="222222"/>
                <w:sz w:val="20"/>
                <w:szCs w:val="20"/>
              </w:rPr>
              <w:t xml:space="preserve">Deferred. No proven hook yet. Run only if organic content surfaces a winning creative before budget is exhausted.</w:t>
            </w:r>
          </w:p>
        </w:tc>
      </w:tr>
      <w:tr>
        <w:tc>
          <w:tcPr>
            <w:tcW w:type="dxa" w:w="3600"/>
            <w:tcBorders>
              <w:top w:val="single" w:color="BDC3C7" w:sz="1"/>
              <w:left w:val="single" w:color="BDC3C7" w:sz="1"/>
              <w:bottom w:val="single" w:color="BDC3C7" w:sz="1"/>
              <w:right w:val="single" w:color="BDC3C7"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222222"/>
                <w:sz w:val="20"/>
                <w:szCs w:val="20"/>
              </w:rPr>
              <w:t xml:space="preserve">Micro-influencer seeding</w:t>
            </w:r>
          </w:p>
        </w:tc>
        <w:tc>
          <w:tcPr>
            <w:tcW w:type="dxa" w:w="1600"/>
            <w:tcBorders>
              <w:top w:val="single" w:color="BDC3C7" w:sz="1"/>
              <w:left w:val="single" w:color="BDC3C7" w:sz="1"/>
              <w:bottom w:val="single" w:color="BDC3C7" w:sz="1"/>
              <w:right w:val="single" w:color="BDC3C7" w:sz="1"/>
            </w:tcBorders>
            <w:shd w:fill="FFFFFF" w:val="clear"/>
            <w:tcMar>
              <w:top w:type="dxa" w:w="80"/>
              <w:left w:type="dxa" w:w="120"/>
              <w:bottom w:type="dxa" w:w="80"/>
              <w:right w:type="dxa" w:w="120"/>
            </w:tcMar>
            <w:vAlign w:val="center"/>
          </w:tcPr>
          <w:p>
            <w:pPr>
              <w:jc w:val="right"/>
            </w:pPr>
            <w:r>
              <w:rPr>
                <w:rFonts w:ascii="Arial" w:cs="Arial" w:eastAsia="Arial" w:hAnsi="Arial"/>
                <w:b w:val="false"/>
                <w:bCs w:val="false"/>
                <w:color w:val="222222"/>
                <w:sz w:val="20"/>
                <w:szCs w:val="20"/>
              </w:rPr>
              <w:t xml:space="preserve">$0</w:t>
            </w:r>
          </w:p>
        </w:tc>
        <w:tc>
          <w:tcPr>
            <w:tcW w:type="dxa" w:w="4160"/>
            <w:tcBorders>
              <w:top w:val="single" w:color="BDC3C7" w:sz="1"/>
              <w:left w:val="single" w:color="BDC3C7" w:sz="1"/>
              <w:bottom w:val="single" w:color="BDC3C7" w:sz="1"/>
              <w:right w:val="single" w:color="BDC3C7"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222222"/>
                <w:sz w:val="20"/>
                <w:szCs w:val="20"/>
              </w:rPr>
              <w:t xml:space="preserve">Revenue-share only. No upfront cash. 10–20 outreach targets in powerlifting/weightlifting niche.</w:t>
            </w:r>
          </w:p>
        </w:tc>
      </w:tr>
    </w:tbl>
    <w:p>
      <w:pPr>
        <w:spacing w:after="0" w:before="120"/>
      </w:pPr>
    </w:p>
    <w:p>
      <w:pPr>
        <w:spacing w:after="80" w:before="80"/>
      </w:pPr>
      <w:r>
        <w:rPr>
          <w:rFonts w:ascii="Arial" w:cs="Arial" w:eastAsia="Arial" w:hAnsi="Arial"/>
          <w:b/>
          <w:bCs/>
          <w:i w:val="false"/>
          <w:iCs w:val="false"/>
          <w:color w:val="D35400"/>
          <w:sz w:val="22"/>
          <w:szCs w:val="22"/>
        </w:rPr>
        <w:t xml:space="preserve">Marketing steel-man #1 (defer all paid to Month 4): </w:t>
      </w:r>
      <w:r>
        <w:rPr>
          <w:rFonts w:ascii="Arial" w:cs="Arial" w:eastAsia="Arial" w:hAnsi="Arial"/>
          <w:b w:val="false"/>
          <w:bCs w:val="false"/>
          <w:i w:val="false"/>
          <w:iCs w:val="false"/>
          <w:color w:val="444444"/>
          <w:sz w:val="22"/>
          <w:szCs w:val="22"/>
        </w:rPr>
        <w:t xml:space="preserve">Organic-first doctrine says every paid dollar before product-market fit is noise. $250 on ASA before launch validation is speculation, not investment. </w:t>
      </w:r>
      <w:r>
        <w:rPr>
          <w:rFonts w:ascii="Arial" w:cs="Arial" w:eastAsia="Arial" w:hAnsi="Arial"/>
          <w:b/>
          <w:bCs/>
          <w:i w:val="false"/>
          <w:iCs w:val="false"/>
          <w:color w:val="1E8449"/>
          <w:sz w:val="22"/>
          <w:szCs w:val="22"/>
        </w:rPr>
        <w:t xml:space="preserve">Counter: </w:t>
      </w:r>
      <w:r>
        <w:rPr>
          <w:rFonts w:ascii="Arial" w:cs="Arial" w:eastAsia="Arial" w:hAnsi="Arial"/>
          <w:b w:val="false"/>
          <w:bCs w:val="false"/>
          <w:i w:val="false"/>
          <w:iCs w:val="false"/>
          <w:color w:val="444444"/>
          <w:sz w:val="22"/>
          <w:szCs w:val="22"/>
        </w:rPr>
        <w:t xml:space="preserve">The marketing skill file's own steel-man analysis concedes this argument has limits. $250 over 5–8 weeks of Apple Search Ads is information arbitrage — it produces conversion rate, audience, and paywall data 90+ days faster than organic-only. Operating blind on PMF for 4 months is a worse expected outcome than spending $250 to learn quickly.</w:t>
      </w:r>
    </w:p>
    <w:p>
      <w:pPr>
        <w:spacing w:after="0" w:before="80"/>
      </w:pPr>
    </w:p>
    <w:p>
      <w:pPr>
        <w:spacing w:after="80" w:before="80"/>
      </w:pPr>
      <w:r>
        <w:rPr>
          <w:rFonts w:ascii="Arial" w:cs="Arial" w:eastAsia="Arial" w:hAnsi="Arial"/>
          <w:b/>
          <w:bCs/>
          <w:i w:val="false"/>
          <w:iCs w:val="false"/>
          <w:color w:val="D35400"/>
          <w:sz w:val="22"/>
          <w:szCs w:val="22"/>
        </w:rPr>
        <w:t xml:space="preserve">Marketing steel-man #2 (spend more on paid, cut Cursor): </w:t>
      </w:r>
      <w:r>
        <w:rPr>
          <w:rFonts w:ascii="Arial" w:cs="Arial" w:eastAsia="Arial" w:hAnsi="Arial"/>
          <w:b w:val="false"/>
          <w:bCs w:val="false"/>
          <w:i w:val="false"/>
          <w:iCs w:val="false"/>
          <w:color w:val="444444"/>
          <w:sz w:val="22"/>
          <w:szCs w:val="22"/>
        </w:rPr>
        <w:t xml:space="preserve">At $800 total, an extra $120 toward ASA adds 30–60 installs. That is more users than Cursor saves in weeks. </w:t>
      </w:r>
      <w:r>
        <w:rPr>
          <w:rFonts w:ascii="Arial" w:cs="Arial" w:eastAsia="Arial" w:hAnsi="Arial"/>
          <w:b/>
          <w:bCs/>
          <w:i w:val="false"/>
          <w:iCs w:val="false"/>
          <w:color w:val="1E8449"/>
          <w:sz w:val="22"/>
          <w:szCs w:val="22"/>
        </w:rPr>
        <w:t xml:space="preserve">Counter: </w:t>
      </w:r>
      <w:r>
        <w:rPr>
          <w:rFonts w:ascii="Arial" w:cs="Arial" w:eastAsia="Arial" w:hAnsi="Arial"/>
          <w:b w:val="false"/>
          <w:bCs w:val="false"/>
          <w:i w:val="false"/>
          <w:iCs w:val="false"/>
          <w:color w:val="444444"/>
          <w:sz w:val="22"/>
          <w:szCs w:val="22"/>
        </w:rPr>
        <w:t xml:space="preserve">The dev tool decision and the marketing decision are not symmetric. 30 additional installs on an unfinished product produce low-quality data and higher churn. A faster-shipping founder brings a better product to those installs sooner. Dev productivity and marketing spend are not substitutable at this stage.</w:t>
      </w:r>
    </w:p>
    <w:p>
      <w:pPr>
        <w:spacing w:after="0" w:before="160"/>
      </w:pPr>
    </w:p>
    <w:p>
      <w:pPr>
        <w:pStyle w:val="Heading2"/>
      </w:pPr>
      <w:r>
        <w:rPr>
          <w:rFonts w:ascii="Arial" w:cs="Arial" w:eastAsia="Arial" w:hAnsi="Arial"/>
          <w:b/>
          <w:bCs/>
          <w:color w:val="2E86C1"/>
          <w:sz w:val="26"/>
          <w:szCs w:val="26"/>
        </w:rPr>
        <w:t xml:space="preserve">3c. Testing &amp; QA Team — $127 (infrastructure buffer)</w:t>
      </w:r>
    </w:p>
    <w:p>
      <w:pPr>
        <w:spacing w:after="80" w:before="80"/>
        <w:jc w:val="left"/>
      </w:pPr>
      <w:r>
        <w:rPr>
          <w:rFonts w:ascii="Arial" w:cs="Arial" w:eastAsia="Arial" w:hAnsi="Arial"/>
          <w:b w:val="false"/>
          <w:bCs w:val="false"/>
          <w:i w:val="false"/>
          <w:iCs w:val="false"/>
          <w:color w:val="222222"/>
          <w:sz w:val="22"/>
          <w:szCs w:val="22"/>
        </w:rPr>
        <w:t xml:space="preserve">The Testing team operates entirely on free tiers for crash reporting, analytics, and beta distribution. Their only budget request was a contingency reserve to absorb the first paid infrastructure upgrades without requiring an emergency budget conversation at the worst possible moment — when the app is hitting real traffic.</w:t>
      </w:r>
    </w:p>
    <w:p>
      <w:pPr>
        <w:spacing w:after="0" w:before="10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600"/>
        <w:gridCol w:w="1600"/>
        <w:gridCol w:w="4160"/>
      </w:tblGrid>
      <w:tr>
        <w:tc>
          <w:tcPr>
            <w:tcW w:type="dxa" w:w="3600"/>
            <w:tcBorders>
              <w:top w:val="single" w:color="FFFFFF" w:sz="1"/>
              <w:left w:val="single" w:color="FFFFFF" w:sz="1"/>
              <w:bottom w:val="single" w:color="FFFFFF" w:sz="1"/>
              <w:right w:val="single" w:color="FFFFFF" w:sz="1"/>
            </w:tcBorders>
            <w:shd w:fill="2E86C1" w:val="clear"/>
            <w:tcMar>
              <w:top w:type="dxa" w:w="80"/>
              <w:left w:type="dxa" w:w="120"/>
              <w:bottom w:type="dxa" w:w="80"/>
              <w:right w:type="dxa" w:w="120"/>
            </w:tcMar>
            <w:vAlign w:val="center"/>
          </w:tcPr>
          <w:p>
            <w:pPr>
              <w:jc w:val="left"/>
            </w:pPr>
            <w:r>
              <w:rPr>
                <w:rFonts w:ascii="Arial" w:cs="Arial" w:eastAsia="Arial" w:hAnsi="Arial"/>
                <w:b/>
                <w:bCs/>
                <w:color w:val="FFFFFF"/>
                <w:sz w:val="20"/>
                <w:szCs w:val="20"/>
              </w:rPr>
              <w:t xml:space="preserve">Item</w:t>
            </w:r>
          </w:p>
        </w:tc>
        <w:tc>
          <w:tcPr>
            <w:tcW w:type="dxa" w:w="1600"/>
            <w:tcBorders>
              <w:top w:val="single" w:color="FFFFFF" w:sz="1"/>
              <w:left w:val="single" w:color="FFFFFF" w:sz="1"/>
              <w:bottom w:val="single" w:color="FFFFFF" w:sz="1"/>
              <w:right w:val="single" w:color="FFFFFF" w:sz="1"/>
            </w:tcBorders>
            <w:shd w:fill="2E86C1" w:val="clear"/>
            <w:tcMar>
              <w:top w:type="dxa" w:w="80"/>
              <w:left w:type="dxa" w:w="120"/>
              <w:bottom w:type="dxa" w:w="80"/>
              <w:right w:type="dxa" w:w="120"/>
            </w:tcMar>
            <w:vAlign w:val="center"/>
          </w:tcPr>
          <w:p>
            <w:pPr>
              <w:jc w:val="right"/>
            </w:pPr>
            <w:r>
              <w:rPr>
                <w:rFonts w:ascii="Arial" w:cs="Arial" w:eastAsia="Arial" w:hAnsi="Arial"/>
                <w:b/>
                <w:bCs/>
                <w:color w:val="FFFFFF"/>
                <w:sz w:val="20"/>
                <w:szCs w:val="20"/>
              </w:rPr>
              <w:t xml:space="preserve">Amount</w:t>
            </w:r>
          </w:p>
        </w:tc>
        <w:tc>
          <w:tcPr>
            <w:tcW w:type="dxa" w:w="4160"/>
            <w:tcBorders>
              <w:top w:val="single" w:color="FFFFFF" w:sz="1"/>
              <w:left w:val="single" w:color="FFFFFF" w:sz="1"/>
              <w:bottom w:val="single" w:color="FFFFFF" w:sz="1"/>
              <w:right w:val="single" w:color="FFFFFF" w:sz="1"/>
            </w:tcBorders>
            <w:shd w:fill="2E86C1" w:val="clear"/>
            <w:tcMar>
              <w:top w:type="dxa" w:w="80"/>
              <w:left w:type="dxa" w:w="120"/>
              <w:bottom w:type="dxa" w:w="80"/>
              <w:right w:type="dxa" w:w="120"/>
            </w:tcMar>
            <w:vAlign w:val="center"/>
          </w:tcPr>
          <w:p>
            <w:pPr>
              <w:jc w:val="left"/>
            </w:pPr>
            <w:r>
              <w:rPr>
                <w:rFonts w:ascii="Arial" w:cs="Arial" w:eastAsia="Arial" w:hAnsi="Arial"/>
                <w:b/>
                <w:bCs/>
                <w:color w:val="FFFFFF"/>
                <w:sz w:val="20"/>
                <w:szCs w:val="20"/>
              </w:rPr>
              <w:t xml:space="preserve">Rationale</w:t>
            </w:r>
          </w:p>
        </w:tc>
      </w:tr>
      <w:tr>
        <w:tc>
          <w:tcPr>
            <w:tcW w:type="dxa" w:w="3600"/>
            <w:tcBorders>
              <w:top w:val="single" w:color="BDC3C7" w:sz="1"/>
              <w:left w:val="single" w:color="BDC3C7" w:sz="1"/>
              <w:bottom w:val="single" w:color="BDC3C7" w:sz="1"/>
              <w:right w:val="single" w:color="BDC3C7"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222222"/>
                <w:sz w:val="20"/>
                <w:szCs w:val="20"/>
              </w:rPr>
              <w:t xml:space="preserve">TestFlight (iOS beta)</w:t>
            </w:r>
          </w:p>
        </w:tc>
        <w:tc>
          <w:tcPr>
            <w:tcW w:type="dxa" w:w="1600"/>
            <w:tcBorders>
              <w:top w:val="single" w:color="BDC3C7" w:sz="1"/>
              <w:left w:val="single" w:color="BDC3C7" w:sz="1"/>
              <w:bottom w:val="single" w:color="BDC3C7" w:sz="1"/>
              <w:right w:val="single" w:color="BDC3C7" w:sz="1"/>
            </w:tcBorders>
            <w:shd w:fill="FFFFFF" w:val="clear"/>
            <w:tcMar>
              <w:top w:type="dxa" w:w="80"/>
              <w:left w:type="dxa" w:w="120"/>
              <w:bottom w:type="dxa" w:w="80"/>
              <w:right w:type="dxa" w:w="120"/>
            </w:tcMar>
            <w:vAlign w:val="center"/>
          </w:tcPr>
          <w:p>
            <w:pPr>
              <w:jc w:val="right"/>
            </w:pPr>
            <w:r>
              <w:rPr>
                <w:rFonts w:ascii="Arial" w:cs="Arial" w:eastAsia="Arial" w:hAnsi="Arial"/>
                <w:b w:val="false"/>
                <w:bCs w:val="false"/>
                <w:color w:val="222222"/>
                <w:sz w:val="20"/>
                <w:szCs w:val="20"/>
              </w:rPr>
              <w:t xml:space="preserve">$0</w:t>
            </w:r>
          </w:p>
        </w:tc>
        <w:tc>
          <w:tcPr>
            <w:tcW w:type="dxa" w:w="4160"/>
            <w:tcBorders>
              <w:top w:val="single" w:color="BDC3C7" w:sz="1"/>
              <w:left w:val="single" w:color="BDC3C7" w:sz="1"/>
              <w:bottom w:val="single" w:color="BDC3C7" w:sz="1"/>
              <w:right w:val="single" w:color="BDC3C7"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222222"/>
                <w:sz w:val="20"/>
                <w:szCs w:val="20"/>
              </w:rPr>
              <w:t xml:space="preserve">Included with Apple Developer Program. Up to 10,000 external testers.</w:t>
            </w:r>
          </w:p>
        </w:tc>
      </w:tr>
      <w:tr>
        <w:tc>
          <w:tcPr>
            <w:tcW w:type="dxa" w:w="3600"/>
            <w:tcBorders>
              <w:top w:val="single" w:color="BDC3C7" w:sz="1"/>
              <w:left w:val="single" w:color="BDC3C7" w:sz="1"/>
              <w:bottom w:val="single" w:color="BDC3C7" w:sz="1"/>
              <w:right w:val="single" w:color="BDC3C7" w:sz="1"/>
            </w:tcBorders>
            <w:shd w:fill="F2F3F4" w:val="clear"/>
            <w:tcMar>
              <w:top w:type="dxa" w:w="80"/>
              <w:left w:type="dxa" w:w="120"/>
              <w:bottom w:type="dxa" w:w="80"/>
              <w:right w:type="dxa" w:w="120"/>
            </w:tcMar>
            <w:vAlign w:val="center"/>
          </w:tcPr>
          <w:p>
            <w:pPr>
              <w:jc w:val="left"/>
            </w:pPr>
            <w:r>
              <w:rPr>
                <w:rFonts w:ascii="Arial" w:cs="Arial" w:eastAsia="Arial" w:hAnsi="Arial"/>
                <w:b w:val="false"/>
                <w:bCs w:val="false"/>
                <w:color w:val="222222"/>
                <w:sz w:val="20"/>
                <w:szCs w:val="20"/>
              </w:rPr>
              <w:t xml:space="preserve">Sentry crash monitoring</w:t>
            </w:r>
          </w:p>
        </w:tc>
        <w:tc>
          <w:tcPr>
            <w:tcW w:type="dxa" w:w="1600"/>
            <w:tcBorders>
              <w:top w:val="single" w:color="BDC3C7" w:sz="1"/>
              <w:left w:val="single" w:color="BDC3C7" w:sz="1"/>
              <w:bottom w:val="single" w:color="BDC3C7" w:sz="1"/>
              <w:right w:val="single" w:color="BDC3C7" w:sz="1"/>
            </w:tcBorders>
            <w:shd w:fill="F2F3F4" w:val="clear"/>
            <w:tcMar>
              <w:top w:type="dxa" w:w="80"/>
              <w:left w:type="dxa" w:w="120"/>
              <w:bottom w:type="dxa" w:w="80"/>
              <w:right w:type="dxa" w:w="120"/>
            </w:tcMar>
            <w:vAlign w:val="center"/>
          </w:tcPr>
          <w:p>
            <w:pPr>
              <w:jc w:val="right"/>
            </w:pPr>
            <w:r>
              <w:rPr>
                <w:rFonts w:ascii="Arial" w:cs="Arial" w:eastAsia="Arial" w:hAnsi="Arial"/>
                <w:b w:val="false"/>
                <w:bCs w:val="false"/>
                <w:color w:val="222222"/>
                <w:sz w:val="20"/>
                <w:szCs w:val="20"/>
              </w:rPr>
              <w:t xml:space="preserve">$0</w:t>
            </w:r>
          </w:p>
        </w:tc>
        <w:tc>
          <w:tcPr>
            <w:tcW w:type="dxa" w:w="4160"/>
            <w:tcBorders>
              <w:top w:val="single" w:color="BDC3C7" w:sz="1"/>
              <w:left w:val="single" w:color="BDC3C7" w:sz="1"/>
              <w:bottom w:val="single" w:color="BDC3C7" w:sz="1"/>
              <w:right w:val="single" w:color="BDC3C7" w:sz="1"/>
            </w:tcBorders>
            <w:shd w:fill="F2F3F4" w:val="clear"/>
            <w:tcMar>
              <w:top w:type="dxa" w:w="80"/>
              <w:left w:type="dxa" w:w="120"/>
              <w:bottom w:type="dxa" w:w="80"/>
              <w:right w:type="dxa" w:w="120"/>
            </w:tcMar>
            <w:vAlign w:val="center"/>
          </w:tcPr>
          <w:p>
            <w:pPr>
              <w:jc w:val="left"/>
            </w:pPr>
            <w:r>
              <w:rPr>
                <w:rFonts w:ascii="Arial" w:cs="Arial" w:eastAsia="Arial" w:hAnsi="Arial"/>
                <w:b w:val="false"/>
                <w:bCs w:val="false"/>
                <w:color w:val="222222"/>
                <w:sz w:val="20"/>
                <w:szCs w:val="20"/>
              </w:rPr>
              <w:t xml:space="preserve">Free tier adequate. Crash data feeds directly into dev sprint priorities.</w:t>
            </w:r>
          </w:p>
        </w:tc>
      </w:tr>
      <w:tr>
        <w:tc>
          <w:tcPr>
            <w:tcW w:type="dxa" w:w="3600"/>
            <w:tcBorders>
              <w:top w:val="single" w:color="BDC3C7" w:sz="1"/>
              <w:left w:val="single" w:color="BDC3C7" w:sz="1"/>
              <w:bottom w:val="single" w:color="BDC3C7" w:sz="1"/>
              <w:right w:val="single" w:color="BDC3C7"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222222"/>
                <w:sz w:val="20"/>
                <w:szCs w:val="20"/>
              </w:rPr>
              <w:t xml:space="preserve">Beta user incentive pool</w:t>
            </w:r>
          </w:p>
        </w:tc>
        <w:tc>
          <w:tcPr>
            <w:tcW w:type="dxa" w:w="1600"/>
            <w:tcBorders>
              <w:top w:val="single" w:color="BDC3C7" w:sz="1"/>
              <w:left w:val="single" w:color="BDC3C7" w:sz="1"/>
              <w:bottom w:val="single" w:color="BDC3C7" w:sz="1"/>
              <w:right w:val="single" w:color="BDC3C7" w:sz="1"/>
            </w:tcBorders>
            <w:shd w:fill="FFFFFF" w:val="clear"/>
            <w:tcMar>
              <w:top w:type="dxa" w:w="80"/>
              <w:left w:type="dxa" w:w="120"/>
              <w:bottom w:type="dxa" w:w="80"/>
              <w:right w:type="dxa" w:w="120"/>
            </w:tcMar>
            <w:vAlign w:val="center"/>
          </w:tcPr>
          <w:p>
            <w:pPr>
              <w:jc w:val="right"/>
            </w:pPr>
            <w:r>
              <w:rPr>
                <w:rFonts w:ascii="Arial" w:cs="Arial" w:eastAsia="Arial" w:hAnsi="Arial"/>
                <w:b w:val="false"/>
                <w:bCs w:val="false"/>
                <w:color w:val="222222"/>
                <w:sz w:val="20"/>
                <w:szCs w:val="20"/>
              </w:rPr>
              <w:t xml:space="preserve">$0</w:t>
            </w:r>
          </w:p>
        </w:tc>
        <w:tc>
          <w:tcPr>
            <w:tcW w:type="dxa" w:w="4160"/>
            <w:tcBorders>
              <w:top w:val="single" w:color="BDC3C7" w:sz="1"/>
              <w:left w:val="single" w:color="BDC3C7" w:sz="1"/>
              <w:bottom w:val="single" w:color="BDC3C7" w:sz="1"/>
              <w:right w:val="single" w:color="BDC3C7"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222222"/>
                <w:sz w:val="20"/>
                <w:szCs w:val="20"/>
              </w:rPr>
              <w:t xml:space="preserve">Free lifetime Pro access for first 500 beta testers. Digital good — near-zero marginal cost.</w:t>
            </w:r>
          </w:p>
        </w:tc>
      </w:tr>
      <w:tr>
        <w:tc>
          <w:tcPr>
            <w:tcW w:type="dxa" w:w="3600"/>
            <w:tcBorders>
              <w:top w:val="single" w:color="BDC3C7" w:sz="1"/>
              <w:left w:val="single" w:color="BDC3C7" w:sz="1"/>
              <w:bottom w:val="single" w:color="BDC3C7" w:sz="1"/>
              <w:right w:val="single" w:color="BDC3C7" w:sz="1"/>
            </w:tcBorders>
            <w:shd w:fill="F2F3F4" w:val="clear"/>
            <w:tcMar>
              <w:top w:type="dxa" w:w="80"/>
              <w:left w:type="dxa" w:w="120"/>
              <w:bottom w:type="dxa" w:w="80"/>
              <w:right w:type="dxa" w:w="120"/>
            </w:tcMar>
            <w:vAlign w:val="center"/>
          </w:tcPr>
          <w:p>
            <w:pPr>
              <w:jc w:val="left"/>
            </w:pPr>
            <w:r>
              <w:rPr>
                <w:rFonts w:ascii="Arial" w:cs="Arial" w:eastAsia="Arial" w:hAnsi="Arial"/>
                <w:b w:val="false"/>
                <w:bCs w:val="false"/>
                <w:color w:val="222222"/>
                <w:sz w:val="20"/>
                <w:szCs w:val="20"/>
              </w:rPr>
              <w:t xml:space="preserve">PostHog funnels + session replay</w:t>
            </w:r>
          </w:p>
        </w:tc>
        <w:tc>
          <w:tcPr>
            <w:tcW w:type="dxa" w:w="1600"/>
            <w:tcBorders>
              <w:top w:val="single" w:color="BDC3C7" w:sz="1"/>
              <w:left w:val="single" w:color="BDC3C7" w:sz="1"/>
              <w:bottom w:val="single" w:color="BDC3C7" w:sz="1"/>
              <w:right w:val="single" w:color="BDC3C7" w:sz="1"/>
            </w:tcBorders>
            <w:shd w:fill="F2F3F4" w:val="clear"/>
            <w:tcMar>
              <w:top w:type="dxa" w:w="80"/>
              <w:left w:type="dxa" w:w="120"/>
              <w:bottom w:type="dxa" w:w="80"/>
              <w:right w:type="dxa" w:w="120"/>
            </w:tcMar>
            <w:vAlign w:val="center"/>
          </w:tcPr>
          <w:p>
            <w:pPr>
              <w:jc w:val="right"/>
            </w:pPr>
            <w:r>
              <w:rPr>
                <w:rFonts w:ascii="Arial" w:cs="Arial" w:eastAsia="Arial" w:hAnsi="Arial"/>
                <w:b w:val="false"/>
                <w:bCs w:val="false"/>
                <w:color w:val="222222"/>
                <w:sz w:val="20"/>
                <w:szCs w:val="20"/>
              </w:rPr>
              <w:t xml:space="preserve">$0</w:t>
            </w:r>
          </w:p>
        </w:tc>
        <w:tc>
          <w:tcPr>
            <w:tcW w:type="dxa" w:w="4160"/>
            <w:tcBorders>
              <w:top w:val="single" w:color="BDC3C7" w:sz="1"/>
              <w:left w:val="single" w:color="BDC3C7" w:sz="1"/>
              <w:bottom w:val="single" w:color="BDC3C7" w:sz="1"/>
              <w:right w:val="single" w:color="BDC3C7" w:sz="1"/>
            </w:tcBorders>
            <w:shd w:fill="F2F3F4" w:val="clear"/>
            <w:tcMar>
              <w:top w:type="dxa" w:w="80"/>
              <w:left w:type="dxa" w:w="120"/>
              <w:bottom w:type="dxa" w:w="80"/>
              <w:right w:type="dxa" w:w="120"/>
            </w:tcMar>
            <w:vAlign w:val="center"/>
          </w:tcPr>
          <w:p>
            <w:pPr>
              <w:jc w:val="left"/>
            </w:pPr>
            <w:r>
              <w:rPr>
                <w:rFonts w:ascii="Arial" w:cs="Arial" w:eastAsia="Arial" w:hAnsi="Arial"/>
                <w:b w:val="false"/>
                <w:bCs w:val="false"/>
                <w:color w:val="222222"/>
                <w:sz w:val="20"/>
                <w:szCs w:val="20"/>
              </w:rPr>
              <w:t xml:space="preserve">Free tier. Used to identify conversion drop-off in onboarding and paywall flows.</w:t>
            </w:r>
          </w:p>
        </w:tc>
      </w:tr>
      <w:tr>
        <w:tc>
          <w:tcPr>
            <w:tcW w:type="dxa" w:w="3600"/>
            <w:tcBorders>
              <w:top w:val="single" w:color="BDC3C7" w:sz="1"/>
              <w:left w:val="single" w:color="BDC3C7" w:sz="1"/>
              <w:bottom w:val="single" w:color="BDC3C7" w:sz="1"/>
              <w:right w:val="single" w:color="BDC3C7"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222222"/>
                <w:sz w:val="20"/>
                <w:szCs w:val="20"/>
              </w:rPr>
              <w:t xml:space="preserve">Device testing hardware</w:t>
            </w:r>
          </w:p>
        </w:tc>
        <w:tc>
          <w:tcPr>
            <w:tcW w:type="dxa" w:w="1600"/>
            <w:tcBorders>
              <w:top w:val="single" w:color="BDC3C7" w:sz="1"/>
              <w:left w:val="single" w:color="BDC3C7" w:sz="1"/>
              <w:bottom w:val="single" w:color="BDC3C7" w:sz="1"/>
              <w:right w:val="single" w:color="BDC3C7" w:sz="1"/>
            </w:tcBorders>
            <w:shd w:fill="FFFFFF" w:val="clear"/>
            <w:tcMar>
              <w:top w:type="dxa" w:w="80"/>
              <w:left w:type="dxa" w:w="120"/>
              <w:bottom w:type="dxa" w:w="80"/>
              <w:right w:type="dxa" w:w="120"/>
            </w:tcMar>
            <w:vAlign w:val="center"/>
          </w:tcPr>
          <w:p>
            <w:pPr>
              <w:jc w:val="right"/>
            </w:pPr>
            <w:r>
              <w:rPr>
                <w:rFonts w:ascii="Arial" w:cs="Arial" w:eastAsia="Arial" w:hAnsi="Arial"/>
                <w:b w:val="false"/>
                <w:bCs w:val="false"/>
                <w:color w:val="222222"/>
                <w:sz w:val="20"/>
                <w:szCs w:val="20"/>
              </w:rPr>
              <w:t xml:space="preserve">$0</w:t>
            </w:r>
          </w:p>
        </w:tc>
        <w:tc>
          <w:tcPr>
            <w:tcW w:type="dxa" w:w="4160"/>
            <w:tcBorders>
              <w:top w:val="single" w:color="BDC3C7" w:sz="1"/>
              <w:left w:val="single" w:color="BDC3C7" w:sz="1"/>
              <w:bottom w:val="single" w:color="BDC3C7" w:sz="1"/>
              <w:right w:val="single" w:color="BDC3C7"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222222"/>
                <w:sz w:val="20"/>
                <w:szCs w:val="20"/>
              </w:rPr>
              <w:t xml:space="preserve">Use founder's personal devices (iOS + Android). Windows via emulator or personal PC.</w:t>
            </w:r>
          </w:p>
        </w:tc>
      </w:tr>
      <w:tr>
        <w:tc>
          <w:tcPr>
            <w:tcW w:type="dxa" w:w="3600"/>
            <w:tcBorders>
              <w:top w:val="single" w:color="BDC3C7" w:sz="1"/>
              <w:left w:val="single" w:color="BDC3C7" w:sz="1"/>
              <w:bottom w:val="single" w:color="BDC3C7" w:sz="1"/>
              <w:right w:val="single" w:color="BDC3C7" w:sz="1"/>
            </w:tcBorders>
            <w:shd w:fill="F2F3F4" w:val="clear"/>
            <w:tcMar>
              <w:top w:type="dxa" w:w="80"/>
              <w:left w:type="dxa" w:w="120"/>
              <w:bottom w:type="dxa" w:w="80"/>
              <w:right w:type="dxa" w:w="120"/>
            </w:tcMar>
            <w:vAlign w:val="center"/>
          </w:tcPr>
          <w:p>
            <w:pPr>
              <w:jc w:val="left"/>
            </w:pPr>
            <w:r>
              <w:rPr>
                <w:rFonts w:ascii="Arial" w:cs="Arial" w:eastAsia="Arial" w:hAnsi="Arial"/>
                <w:b w:val="false"/>
                <w:bCs w:val="false"/>
                <w:color w:val="222222"/>
                <w:sz w:val="20"/>
                <w:szCs w:val="20"/>
              </w:rPr>
              <w:t xml:space="preserve">Contingency — infrastructure upgrade buffer</w:t>
            </w:r>
          </w:p>
        </w:tc>
        <w:tc>
          <w:tcPr>
            <w:tcW w:type="dxa" w:w="1600"/>
            <w:tcBorders>
              <w:top w:val="single" w:color="BDC3C7" w:sz="1"/>
              <w:left w:val="single" w:color="BDC3C7" w:sz="1"/>
              <w:bottom w:val="single" w:color="BDC3C7" w:sz="1"/>
              <w:right w:val="single" w:color="BDC3C7" w:sz="1"/>
            </w:tcBorders>
            <w:shd w:fill="F2F3F4" w:val="clear"/>
            <w:tcMar>
              <w:top w:type="dxa" w:w="80"/>
              <w:left w:type="dxa" w:w="120"/>
              <w:bottom w:type="dxa" w:w="80"/>
              <w:right w:type="dxa" w:w="120"/>
            </w:tcMar>
            <w:vAlign w:val="center"/>
          </w:tcPr>
          <w:p>
            <w:pPr>
              <w:jc w:val="right"/>
            </w:pPr>
            <w:r>
              <w:rPr>
                <w:rFonts w:ascii="Arial" w:cs="Arial" w:eastAsia="Arial" w:hAnsi="Arial"/>
                <w:b/>
                <w:bCs/>
                <w:color w:val="222222"/>
                <w:sz w:val="20"/>
                <w:szCs w:val="20"/>
              </w:rPr>
              <w:t xml:space="preserve">$127</w:t>
            </w:r>
          </w:p>
        </w:tc>
        <w:tc>
          <w:tcPr>
            <w:tcW w:type="dxa" w:w="4160"/>
            <w:tcBorders>
              <w:top w:val="single" w:color="BDC3C7" w:sz="1"/>
              <w:left w:val="single" w:color="BDC3C7" w:sz="1"/>
              <w:bottom w:val="single" w:color="BDC3C7" w:sz="1"/>
              <w:right w:val="single" w:color="BDC3C7" w:sz="1"/>
            </w:tcBorders>
            <w:shd w:fill="F2F3F4" w:val="clear"/>
            <w:tcMar>
              <w:top w:type="dxa" w:w="80"/>
              <w:left w:type="dxa" w:w="120"/>
              <w:bottom w:type="dxa" w:w="80"/>
              <w:right w:type="dxa" w:w="120"/>
            </w:tcMar>
            <w:vAlign w:val="center"/>
          </w:tcPr>
          <w:p>
            <w:pPr>
              <w:jc w:val="left"/>
            </w:pPr>
            <w:r>
              <w:rPr>
                <w:rFonts w:ascii="Arial" w:cs="Arial" w:eastAsia="Arial" w:hAnsi="Arial"/>
                <w:b w:val="false"/>
                <w:bCs w:val="false"/>
                <w:color w:val="222222"/>
                <w:sz w:val="20"/>
                <w:szCs w:val="20"/>
              </w:rPr>
              <w:t xml:space="preserve">Covers first Supabase Pro month ($25), PowerSync upgrade ($35), Sentry paid ($26), and ~$40 emergency reserve when MAU crosses 1,000.</w:t>
            </w:r>
          </w:p>
        </w:tc>
      </w:tr>
    </w:tbl>
    <w:p>
      <w:pPr>
        <w:spacing w:after="0" w:before="120"/>
      </w:pPr>
    </w:p>
    <w:p>
      <w:pPr>
        <w:spacing w:after="80" w:before="80"/>
      </w:pPr>
      <w:r>
        <w:rPr>
          <w:rFonts w:ascii="Arial" w:cs="Arial" w:eastAsia="Arial" w:hAnsi="Arial"/>
          <w:b/>
          <w:bCs/>
          <w:i w:val="false"/>
          <w:iCs w:val="false"/>
          <w:color w:val="D35400"/>
          <w:sz w:val="22"/>
          <w:szCs w:val="22"/>
        </w:rPr>
        <w:t xml:space="preserve">Testing steel-man (redirect $127 to marketing): </w:t>
      </w:r>
      <w:r>
        <w:rPr>
          <w:rFonts w:ascii="Arial" w:cs="Arial" w:eastAsia="Arial" w:hAnsi="Arial"/>
          <w:b w:val="false"/>
          <w:bCs w:val="false"/>
          <w:i w:val="false"/>
          <w:iCs w:val="false"/>
          <w:color w:val="444444"/>
          <w:sz w:val="22"/>
          <w:szCs w:val="22"/>
        </w:rPr>
        <w:t xml:space="preserve">If MAU is still below 1,000, no infrastructure upgrades are needed. The $127 buffer sits idle. Better to deploy it on ASA installs now than hold it in reserve. </w:t>
      </w:r>
      <w:r>
        <w:rPr>
          <w:rFonts w:ascii="Arial" w:cs="Arial" w:eastAsia="Arial" w:hAnsi="Arial"/>
          <w:b/>
          <w:bCs/>
          <w:i w:val="false"/>
          <w:iCs w:val="false"/>
          <w:color w:val="1E8449"/>
          <w:sz w:val="22"/>
          <w:szCs w:val="22"/>
        </w:rPr>
        <w:t xml:space="preserve">Counter: </w:t>
      </w:r>
      <w:r>
        <w:rPr>
          <w:rFonts w:ascii="Arial" w:cs="Arial" w:eastAsia="Arial" w:hAnsi="Arial"/>
          <w:b w:val="false"/>
          <w:bCs w:val="false"/>
          <w:i w:val="false"/>
          <w:iCs w:val="false"/>
          <w:color w:val="444444"/>
          <w:sz w:val="22"/>
          <w:szCs w:val="22"/>
        </w:rPr>
        <w:t xml:space="preserve">The buffer is not a hedge against slow growth — it is a hedge against fast growth. The scenario where $127 is needed is the scenario where the product is working. Running out of infrastructure budget exactly when traction arrives destroys the moment. The buffer is cheap insurance against the best possible problem to have.</w:t>
      </w:r>
    </w:p>
    <w:p>
      <w:pPr>
        <w:spacing w:after="0" w:before="160"/>
      </w:pPr>
    </w:p>
    <w:p>
      <w:r>
        <w:br w:type="page"/>
      </w:r>
    </w:p>
    <w:p>
      <w:pPr>
        <w:pStyle w:val="Heading1"/>
      </w:pPr>
      <w:r>
        <w:rPr>
          <w:rFonts w:ascii="Arial" w:cs="Arial" w:eastAsia="Arial" w:hAnsi="Arial"/>
          <w:b/>
          <w:bCs/>
          <w:color w:val="1B4F72"/>
          <w:sz w:val="32"/>
          <w:szCs w:val="32"/>
        </w:rPr>
        <w:t xml:space="preserve">4. Final Recommended Allocation</w:t>
      </w:r>
    </w:p>
    <w:p>
      <w:pPr>
        <w:spacing w:after="80" w:before="80"/>
        <w:jc w:val="left"/>
      </w:pPr>
      <w:r>
        <w:rPr>
          <w:rFonts w:ascii="Arial" w:cs="Arial" w:eastAsia="Arial" w:hAnsi="Arial"/>
          <w:b w:val="false"/>
          <w:bCs w:val="false"/>
          <w:i w:val="false"/>
          <w:iCs w:val="false"/>
          <w:color w:val="222222"/>
          <w:sz w:val="22"/>
          <w:szCs w:val="22"/>
        </w:rPr>
        <w:t xml:space="preserve">The table below is the executive-approved $800 budget. Every line item survived its steel-man. The infrastructure buffer is held as a reserve, not pre-spent. All variable infrastructure costs (Supabase, LLM, PowerSync) remain $0 until thresholds are crossed.</w:t>
      </w:r>
    </w:p>
    <w:p>
      <w:pPr>
        <w:spacing w:after="0" w:before="12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1500"/>
        <w:gridCol w:w="1600"/>
        <w:gridCol w:w="3460"/>
      </w:tblGrid>
      <w:tr>
        <w:tc>
          <w:tcPr>
            <w:tcW w:type="dxa" w:w="2800"/>
            <w:tcBorders>
              <w:top w:val="single" w:color="FFFFFF" w:sz="1"/>
              <w:left w:val="single" w:color="FFFFFF" w:sz="1"/>
              <w:bottom w:val="single" w:color="FFFFFF" w:sz="1"/>
              <w:right w:val="single" w:color="FFFFFF" w:sz="1"/>
            </w:tcBorders>
            <w:shd w:fill="2E86C1" w:val="clear"/>
            <w:tcMar>
              <w:top w:type="dxa" w:w="80"/>
              <w:left w:type="dxa" w:w="120"/>
              <w:bottom w:type="dxa" w:w="80"/>
              <w:right w:type="dxa" w:w="120"/>
            </w:tcMar>
            <w:vAlign w:val="center"/>
          </w:tcPr>
          <w:p>
            <w:pPr>
              <w:jc w:val="left"/>
            </w:pPr>
            <w:r>
              <w:rPr>
                <w:rFonts w:ascii="Arial" w:cs="Arial" w:eastAsia="Arial" w:hAnsi="Arial"/>
                <w:b/>
                <w:bCs/>
                <w:color w:val="FFFFFF"/>
                <w:sz w:val="20"/>
                <w:szCs w:val="20"/>
              </w:rPr>
              <w:t xml:space="preserve">Category</w:t>
            </w:r>
          </w:p>
        </w:tc>
        <w:tc>
          <w:tcPr>
            <w:tcW w:type="dxa" w:w="1500"/>
            <w:tcBorders>
              <w:top w:val="single" w:color="FFFFFF" w:sz="1"/>
              <w:left w:val="single" w:color="FFFFFF" w:sz="1"/>
              <w:bottom w:val="single" w:color="FFFFFF" w:sz="1"/>
              <w:right w:val="single" w:color="FFFFFF" w:sz="1"/>
            </w:tcBorders>
            <w:shd w:fill="2E86C1" w:val="clear"/>
            <w:tcMar>
              <w:top w:type="dxa" w:w="80"/>
              <w:left w:type="dxa" w:w="120"/>
              <w:bottom w:type="dxa" w:w="80"/>
              <w:right w:type="dxa" w:w="120"/>
            </w:tcMar>
            <w:vAlign w:val="center"/>
          </w:tcPr>
          <w:p>
            <w:pPr>
              <w:jc w:val="left"/>
            </w:pPr>
            <w:r>
              <w:rPr>
                <w:rFonts w:ascii="Arial" w:cs="Arial" w:eastAsia="Arial" w:hAnsi="Arial"/>
                <w:b/>
                <w:bCs/>
                <w:color w:val="FFFFFF"/>
                <w:sz w:val="20"/>
                <w:szCs w:val="20"/>
              </w:rPr>
              <w:t xml:space="preserve">Team</w:t>
            </w:r>
          </w:p>
        </w:tc>
        <w:tc>
          <w:tcPr>
            <w:tcW w:type="dxa" w:w="1600"/>
            <w:tcBorders>
              <w:top w:val="single" w:color="FFFFFF" w:sz="1"/>
              <w:left w:val="single" w:color="FFFFFF" w:sz="1"/>
              <w:bottom w:val="single" w:color="FFFFFF" w:sz="1"/>
              <w:right w:val="single" w:color="FFFFFF" w:sz="1"/>
            </w:tcBorders>
            <w:shd w:fill="2E86C1" w:val="clear"/>
            <w:tcMar>
              <w:top w:type="dxa" w:w="80"/>
              <w:left w:type="dxa" w:w="120"/>
              <w:bottom w:type="dxa" w:w="80"/>
              <w:right w:type="dxa" w:w="120"/>
            </w:tcMar>
            <w:vAlign w:val="center"/>
          </w:tcPr>
          <w:p>
            <w:pPr>
              <w:jc w:val="right"/>
            </w:pPr>
            <w:r>
              <w:rPr>
                <w:rFonts w:ascii="Arial" w:cs="Arial" w:eastAsia="Arial" w:hAnsi="Arial"/>
                <w:b/>
                <w:bCs/>
                <w:color w:val="FFFFFF"/>
                <w:sz w:val="20"/>
                <w:szCs w:val="20"/>
              </w:rPr>
              <w:t xml:space="preserve">Amount</w:t>
            </w:r>
          </w:p>
        </w:tc>
        <w:tc>
          <w:tcPr>
            <w:tcW w:type="dxa" w:w="3460"/>
            <w:tcBorders>
              <w:top w:val="single" w:color="FFFFFF" w:sz="1"/>
              <w:left w:val="single" w:color="FFFFFF" w:sz="1"/>
              <w:bottom w:val="single" w:color="FFFFFF" w:sz="1"/>
              <w:right w:val="single" w:color="FFFFFF" w:sz="1"/>
            </w:tcBorders>
            <w:shd w:fill="2E86C1" w:val="clear"/>
            <w:tcMar>
              <w:top w:type="dxa" w:w="80"/>
              <w:left w:type="dxa" w:w="120"/>
              <w:bottom w:type="dxa" w:w="80"/>
              <w:right w:type="dxa" w:w="120"/>
            </w:tcMar>
            <w:vAlign w:val="center"/>
          </w:tcPr>
          <w:p>
            <w:pPr>
              <w:jc w:val="left"/>
            </w:pPr>
            <w:r>
              <w:rPr>
                <w:rFonts w:ascii="Arial" w:cs="Arial" w:eastAsia="Arial" w:hAnsi="Arial"/>
                <w:b/>
                <w:bCs/>
                <w:color w:val="FFFFFF"/>
                <w:sz w:val="20"/>
                <w:szCs w:val="20"/>
              </w:rPr>
              <w:t xml:space="preserve">Notes</w:t>
            </w:r>
          </w:p>
        </w:tc>
      </w:tr>
      <w:tr>
        <w:tc>
          <w:tcPr>
            <w:tcW w:type="dxa" w:w="2800"/>
            <w:gridSpan w:val="4"/>
            <w:tcBorders>
              <w:top w:val="single" w:color="BDC3C7" w:sz="1"/>
              <w:left w:val="single" w:color="BDC3C7" w:sz="1"/>
              <w:bottom w:val="single" w:color="BDC3C7" w:sz="1"/>
              <w:right w:val="single" w:color="BDC3C7" w:sz="1"/>
            </w:tcBorders>
            <w:shd w:fill="EBF5FB" w:val="clear"/>
            <w:tcMar>
              <w:top w:type="dxa" w:w="80"/>
              <w:left w:type="dxa" w:w="120"/>
              <w:bottom w:type="dxa" w:w="80"/>
              <w:right w:type="dxa" w:w="120"/>
            </w:tcMar>
          </w:tcPr>
          <w:p>
            <w:r>
              <w:rPr>
                <w:rFonts w:ascii="Arial" w:cs="Arial" w:eastAsia="Arial" w:hAnsi="Arial"/>
                <w:b/>
                <w:bCs/>
                <w:color w:val="1B4F72"/>
                <w:sz w:val="20"/>
                <w:szCs w:val="20"/>
              </w:rPr>
              <w:t xml:space="preserve">MANDATORY INFRASTRUCTURE  ($193)</w:t>
            </w:r>
          </w:p>
        </w:tc>
      </w:tr>
      <w:tr>
        <w:tc>
          <w:tcPr>
            <w:tcW w:type="dxa" w:w="2800"/>
            <w:tcBorders>
              <w:top w:val="single" w:color="BDC3C7" w:sz="1"/>
              <w:left w:val="single" w:color="BDC3C7" w:sz="1"/>
              <w:bottom w:val="single" w:color="BDC3C7" w:sz="1"/>
              <w:right w:val="single" w:color="BDC3C7"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222222"/>
                <w:sz w:val="20"/>
                <w:szCs w:val="20"/>
              </w:rPr>
              <w:t xml:space="preserve">Domain registration</w:t>
            </w:r>
          </w:p>
        </w:tc>
        <w:tc>
          <w:tcPr>
            <w:tcW w:type="dxa" w:w="1500"/>
            <w:tcBorders>
              <w:top w:val="single" w:color="BDC3C7" w:sz="1"/>
              <w:left w:val="single" w:color="BDC3C7" w:sz="1"/>
              <w:bottom w:val="single" w:color="BDC3C7" w:sz="1"/>
              <w:right w:val="single" w:color="BDC3C7"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222222"/>
                <w:sz w:val="20"/>
                <w:szCs w:val="20"/>
              </w:rPr>
              <w:t xml:space="preserve">Ops</w:t>
            </w:r>
          </w:p>
        </w:tc>
        <w:tc>
          <w:tcPr>
            <w:tcW w:type="dxa" w:w="1600"/>
            <w:tcBorders>
              <w:top w:val="single" w:color="BDC3C7" w:sz="1"/>
              <w:left w:val="single" w:color="BDC3C7" w:sz="1"/>
              <w:bottom w:val="single" w:color="BDC3C7" w:sz="1"/>
              <w:right w:val="single" w:color="BDC3C7" w:sz="1"/>
            </w:tcBorders>
            <w:shd w:fill="FFFFFF" w:val="clear"/>
            <w:tcMar>
              <w:top w:type="dxa" w:w="80"/>
              <w:left w:type="dxa" w:w="120"/>
              <w:bottom w:type="dxa" w:w="80"/>
              <w:right w:type="dxa" w:w="120"/>
            </w:tcMar>
            <w:vAlign w:val="center"/>
          </w:tcPr>
          <w:p>
            <w:pPr>
              <w:jc w:val="right"/>
            </w:pPr>
            <w:r>
              <w:rPr>
                <w:rFonts w:ascii="Arial" w:cs="Arial" w:eastAsia="Arial" w:hAnsi="Arial"/>
                <w:b w:val="false"/>
                <w:bCs w:val="false"/>
                <w:color w:val="222222"/>
                <w:sz w:val="20"/>
                <w:szCs w:val="20"/>
              </w:rPr>
              <w:t xml:space="preserve">$50</w:t>
            </w:r>
          </w:p>
        </w:tc>
        <w:tc>
          <w:tcPr>
            <w:tcW w:type="dxa" w:w="3460"/>
            <w:tcBorders>
              <w:top w:val="single" w:color="BDC3C7" w:sz="1"/>
              <w:left w:val="single" w:color="BDC3C7" w:sz="1"/>
              <w:bottom w:val="single" w:color="BDC3C7" w:sz="1"/>
              <w:right w:val="single" w:color="BDC3C7"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222222"/>
                <w:sz w:val="20"/>
                <w:szCs w:val="20"/>
              </w:rPr>
              <w:t xml:space="preserve">peakfettle.com or equivalent premium .com</w:t>
            </w:r>
          </w:p>
        </w:tc>
      </w:tr>
      <w:tr>
        <w:tc>
          <w:tcPr>
            <w:tcW w:type="dxa" w:w="2800"/>
            <w:tcBorders>
              <w:top w:val="single" w:color="BDC3C7" w:sz="1"/>
              <w:left w:val="single" w:color="BDC3C7" w:sz="1"/>
              <w:bottom w:val="single" w:color="BDC3C7" w:sz="1"/>
              <w:right w:val="single" w:color="BDC3C7" w:sz="1"/>
            </w:tcBorders>
            <w:shd w:fill="F2F3F4" w:val="clear"/>
            <w:tcMar>
              <w:top w:type="dxa" w:w="80"/>
              <w:left w:type="dxa" w:w="120"/>
              <w:bottom w:type="dxa" w:w="80"/>
              <w:right w:type="dxa" w:w="120"/>
            </w:tcMar>
            <w:vAlign w:val="center"/>
          </w:tcPr>
          <w:p>
            <w:pPr>
              <w:jc w:val="left"/>
            </w:pPr>
            <w:r>
              <w:rPr>
                <w:rFonts w:ascii="Arial" w:cs="Arial" w:eastAsia="Arial" w:hAnsi="Arial"/>
                <w:b w:val="false"/>
                <w:bCs w:val="false"/>
                <w:color w:val="222222"/>
                <w:sz w:val="20"/>
                <w:szCs w:val="20"/>
              </w:rPr>
              <w:t xml:space="preserve">Apple Developer Program</w:t>
            </w:r>
          </w:p>
        </w:tc>
        <w:tc>
          <w:tcPr>
            <w:tcW w:type="dxa" w:w="1500"/>
            <w:tcBorders>
              <w:top w:val="single" w:color="BDC3C7" w:sz="1"/>
              <w:left w:val="single" w:color="BDC3C7" w:sz="1"/>
              <w:bottom w:val="single" w:color="BDC3C7" w:sz="1"/>
              <w:right w:val="single" w:color="BDC3C7" w:sz="1"/>
            </w:tcBorders>
            <w:shd w:fill="F2F3F4" w:val="clear"/>
            <w:tcMar>
              <w:top w:type="dxa" w:w="80"/>
              <w:left w:type="dxa" w:w="120"/>
              <w:bottom w:type="dxa" w:w="80"/>
              <w:right w:type="dxa" w:w="120"/>
            </w:tcMar>
            <w:vAlign w:val="center"/>
          </w:tcPr>
          <w:p>
            <w:pPr>
              <w:jc w:val="left"/>
            </w:pPr>
            <w:r>
              <w:rPr>
                <w:rFonts w:ascii="Arial" w:cs="Arial" w:eastAsia="Arial" w:hAnsi="Arial"/>
                <w:b w:val="false"/>
                <w:bCs w:val="false"/>
                <w:color w:val="222222"/>
                <w:sz w:val="20"/>
                <w:szCs w:val="20"/>
              </w:rPr>
              <w:t xml:space="preserve">Ops</w:t>
            </w:r>
          </w:p>
        </w:tc>
        <w:tc>
          <w:tcPr>
            <w:tcW w:type="dxa" w:w="1600"/>
            <w:tcBorders>
              <w:top w:val="single" w:color="BDC3C7" w:sz="1"/>
              <w:left w:val="single" w:color="BDC3C7" w:sz="1"/>
              <w:bottom w:val="single" w:color="BDC3C7" w:sz="1"/>
              <w:right w:val="single" w:color="BDC3C7" w:sz="1"/>
            </w:tcBorders>
            <w:shd w:fill="F2F3F4" w:val="clear"/>
            <w:tcMar>
              <w:top w:type="dxa" w:w="80"/>
              <w:left w:type="dxa" w:w="120"/>
              <w:bottom w:type="dxa" w:w="80"/>
              <w:right w:type="dxa" w:w="120"/>
            </w:tcMar>
            <w:vAlign w:val="center"/>
          </w:tcPr>
          <w:p>
            <w:pPr>
              <w:jc w:val="right"/>
            </w:pPr>
            <w:r>
              <w:rPr>
                <w:rFonts w:ascii="Arial" w:cs="Arial" w:eastAsia="Arial" w:hAnsi="Arial"/>
                <w:b w:val="false"/>
                <w:bCs w:val="false"/>
                <w:color w:val="222222"/>
                <w:sz w:val="20"/>
                <w:szCs w:val="20"/>
              </w:rPr>
              <w:t xml:space="preserve">$99</w:t>
            </w:r>
          </w:p>
        </w:tc>
        <w:tc>
          <w:tcPr>
            <w:tcW w:type="dxa" w:w="3460"/>
            <w:tcBorders>
              <w:top w:val="single" w:color="BDC3C7" w:sz="1"/>
              <w:left w:val="single" w:color="BDC3C7" w:sz="1"/>
              <w:bottom w:val="single" w:color="BDC3C7" w:sz="1"/>
              <w:right w:val="single" w:color="BDC3C7" w:sz="1"/>
            </w:tcBorders>
            <w:shd w:fill="F2F3F4" w:val="clear"/>
            <w:tcMar>
              <w:top w:type="dxa" w:w="80"/>
              <w:left w:type="dxa" w:w="120"/>
              <w:bottom w:type="dxa" w:w="80"/>
              <w:right w:type="dxa" w:w="120"/>
            </w:tcMar>
            <w:vAlign w:val="center"/>
          </w:tcPr>
          <w:p>
            <w:pPr>
              <w:jc w:val="left"/>
            </w:pPr>
            <w:r>
              <w:rPr>
                <w:rFonts w:ascii="Arial" w:cs="Arial" w:eastAsia="Arial" w:hAnsi="Arial"/>
                <w:b w:val="false"/>
                <w:bCs w:val="false"/>
                <w:color w:val="222222"/>
                <w:sz w:val="20"/>
                <w:szCs w:val="20"/>
              </w:rPr>
              <w:t xml:space="preserve">Annual. Covers TestFlight + push entitlements.</w:t>
            </w:r>
          </w:p>
        </w:tc>
      </w:tr>
      <w:tr>
        <w:tc>
          <w:tcPr>
            <w:tcW w:type="dxa" w:w="2800"/>
            <w:tcBorders>
              <w:top w:val="single" w:color="BDC3C7" w:sz="1"/>
              <w:left w:val="single" w:color="BDC3C7" w:sz="1"/>
              <w:bottom w:val="single" w:color="BDC3C7" w:sz="1"/>
              <w:right w:val="single" w:color="BDC3C7"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222222"/>
                <w:sz w:val="20"/>
                <w:szCs w:val="20"/>
              </w:rPr>
              <w:t xml:space="preserve">Google Play Developer</w:t>
            </w:r>
          </w:p>
        </w:tc>
        <w:tc>
          <w:tcPr>
            <w:tcW w:type="dxa" w:w="1500"/>
            <w:tcBorders>
              <w:top w:val="single" w:color="BDC3C7" w:sz="1"/>
              <w:left w:val="single" w:color="BDC3C7" w:sz="1"/>
              <w:bottom w:val="single" w:color="BDC3C7" w:sz="1"/>
              <w:right w:val="single" w:color="BDC3C7"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222222"/>
                <w:sz w:val="20"/>
                <w:szCs w:val="20"/>
              </w:rPr>
              <w:t xml:space="preserve">Ops</w:t>
            </w:r>
          </w:p>
        </w:tc>
        <w:tc>
          <w:tcPr>
            <w:tcW w:type="dxa" w:w="1600"/>
            <w:tcBorders>
              <w:top w:val="single" w:color="BDC3C7" w:sz="1"/>
              <w:left w:val="single" w:color="BDC3C7" w:sz="1"/>
              <w:bottom w:val="single" w:color="BDC3C7" w:sz="1"/>
              <w:right w:val="single" w:color="BDC3C7" w:sz="1"/>
            </w:tcBorders>
            <w:shd w:fill="FFFFFF" w:val="clear"/>
            <w:tcMar>
              <w:top w:type="dxa" w:w="80"/>
              <w:left w:type="dxa" w:w="120"/>
              <w:bottom w:type="dxa" w:w="80"/>
              <w:right w:type="dxa" w:w="120"/>
            </w:tcMar>
            <w:vAlign w:val="center"/>
          </w:tcPr>
          <w:p>
            <w:pPr>
              <w:jc w:val="right"/>
            </w:pPr>
            <w:r>
              <w:rPr>
                <w:rFonts w:ascii="Arial" w:cs="Arial" w:eastAsia="Arial" w:hAnsi="Arial"/>
                <w:b w:val="false"/>
                <w:bCs w:val="false"/>
                <w:color w:val="222222"/>
                <w:sz w:val="20"/>
                <w:szCs w:val="20"/>
              </w:rPr>
              <w:t xml:space="preserve">$25</w:t>
            </w:r>
          </w:p>
        </w:tc>
        <w:tc>
          <w:tcPr>
            <w:tcW w:type="dxa" w:w="3460"/>
            <w:tcBorders>
              <w:top w:val="single" w:color="BDC3C7" w:sz="1"/>
              <w:left w:val="single" w:color="BDC3C7" w:sz="1"/>
              <w:bottom w:val="single" w:color="BDC3C7" w:sz="1"/>
              <w:right w:val="single" w:color="BDC3C7"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222222"/>
                <w:sz w:val="20"/>
                <w:szCs w:val="20"/>
              </w:rPr>
              <w:t xml:space="preserve">One-time, lifetime account.</w:t>
            </w:r>
          </w:p>
        </w:tc>
      </w:tr>
      <w:tr>
        <w:tc>
          <w:tcPr>
            <w:tcW w:type="dxa" w:w="2800"/>
            <w:tcBorders>
              <w:top w:val="single" w:color="BDC3C7" w:sz="1"/>
              <w:left w:val="single" w:color="BDC3C7" w:sz="1"/>
              <w:bottom w:val="single" w:color="BDC3C7" w:sz="1"/>
              <w:right w:val="single" w:color="BDC3C7" w:sz="1"/>
            </w:tcBorders>
            <w:shd w:fill="F2F3F4" w:val="clear"/>
            <w:tcMar>
              <w:top w:type="dxa" w:w="80"/>
              <w:left w:type="dxa" w:w="120"/>
              <w:bottom w:type="dxa" w:w="80"/>
              <w:right w:type="dxa" w:w="120"/>
            </w:tcMar>
            <w:vAlign w:val="center"/>
          </w:tcPr>
          <w:p>
            <w:pPr>
              <w:jc w:val="left"/>
            </w:pPr>
            <w:r>
              <w:rPr>
                <w:rFonts w:ascii="Arial" w:cs="Arial" w:eastAsia="Arial" w:hAnsi="Arial"/>
                <w:b w:val="false"/>
                <w:bCs w:val="false"/>
                <w:color w:val="222222"/>
                <w:sz w:val="20"/>
                <w:szCs w:val="20"/>
              </w:rPr>
              <w:t xml:space="preserve">Microsoft Store (individual)</w:t>
            </w:r>
          </w:p>
        </w:tc>
        <w:tc>
          <w:tcPr>
            <w:tcW w:type="dxa" w:w="1500"/>
            <w:tcBorders>
              <w:top w:val="single" w:color="BDC3C7" w:sz="1"/>
              <w:left w:val="single" w:color="BDC3C7" w:sz="1"/>
              <w:bottom w:val="single" w:color="BDC3C7" w:sz="1"/>
              <w:right w:val="single" w:color="BDC3C7" w:sz="1"/>
            </w:tcBorders>
            <w:shd w:fill="F2F3F4" w:val="clear"/>
            <w:tcMar>
              <w:top w:type="dxa" w:w="80"/>
              <w:left w:type="dxa" w:w="120"/>
              <w:bottom w:type="dxa" w:w="80"/>
              <w:right w:type="dxa" w:w="120"/>
            </w:tcMar>
            <w:vAlign w:val="center"/>
          </w:tcPr>
          <w:p>
            <w:pPr>
              <w:jc w:val="left"/>
            </w:pPr>
            <w:r>
              <w:rPr>
                <w:rFonts w:ascii="Arial" w:cs="Arial" w:eastAsia="Arial" w:hAnsi="Arial"/>
                <w:b w:val="false"/>
                <w:bCs w:val="false"/>
                <w:color w:val="222222"/>
                <w:sz w:val="20"/>
                <w:szCs w:val="20"/>
              </w:rPr>
              <w:t xml:space="preserve">Ops</w:t>
            </w:r>
          </w:p>
        </w:tc>
        <w:tc>
          <w:tcPr>
            <w:tcW w:type="dxa" w:w="1600"/>
            <w:tcBorders>
              <w:top w:val="single" w:color="BDC3C7" w:sz="1"/>
              <w:left w:val="single" w:color="BDC3C7" w:sz="1"/>
              <w:bottom w:val="single" w:color="BDC3C7" w:sz="1"/>
              <w:right w:val="single" w:color="BDC3C7" w:sz="1"/>
            </w:tcBorders>
            <w:shd w:fill="F2F3F4" w:val="clear"/>
            <w:tcMar>
              <w:top w:type="dxa" w:w="80"/>
              <w:left w:type="dxa" w:w="120"/>
              <w:bottom w:type="dxa" w:w="80"/>
              <w:right w:type="dxa" w:w="120"/>
            </w:tcMar>
            <w:vAlign w:val="center"/>
          </w:tcPr>
          <w:p>
            <w:pPr>
              <w:jc w:val="right"/>
            </w:pPr>
            <w:r>
              <w:rPr>
                <w:rFonts w:ascii="Arial" w:cs="Arial" w:eastAsia="Arial" w:hAnsi="Arial"/>
                <w:b w:val="false"/>
                <w:bCs w:val="false"/>
                <w:color w:val="222222"/>
                <w:sz w:val="20"/>
                <w:szCs w:val="20"/>
              </w:rPr>
              <w:t xml:space="preserve">$19</w:t>
            </w:r>
          </w:p>
        </w:tc>
        <w:tc>
          <w:tcPr>
            <w:tcW w:type="dxa" w:w="3460"/>
            <w:tcBorders>
              <w:top w:val="single" w:color="BDC3C7" w:sz="1"/>
              <w:left w:val="single" w:color="BDC3C7" w:sz="1"/>
              <w:bottom w:val="single" w:color="BDC3C7" w:sz="1"/>
              <w:right w:val="single" w:color="BDC3C7" w:sz="1"/>
            </w:tcBorders>
            <w:shd w:fill="F2F3F4" w:val="clear"/>
            <w:tcMar>
              <w:top w:type="dxa" w:w="80"/>
              <w:left w:type="dxa" w:w="120"/>
              <w:bottom w:type="dxa" w:w="80"/>
              <w:right w:type="dxa" w:w="120"/>
            </w:tcMar>
            <w:vAlign w:val="center"/>
          </w:tcPr>
          <w:p>
            <w:pPr>
              <w:jc w:val="left"/>
            </w:pPr>
            <w:r>
              <w:rPr>
                <w:rFonts w:ascii="Arial" w:cs="Arial" w:eastAsia="Arial" w:hAnsi="Arial"/>
                <w:b w:val="false"/>
                <w:bCs w:val="false"/>
                <w:color w:val="222222"/>
                <w:sz w:val="20"/>
                <w:szCs w:val="20"/>
              </w:rPr>
              <w:t xml:space="preserve">Upgrade to company tier after incorporation.</w:t>
            </w:r>
          </w:p>
        </w:tc>
      </w:tr>
      <w:tr>
        <w:tc>
          <w:tcPr>
            <w:tcW w:type="dxa" w:w="2800"/>
            <w:gridSpan w:val="4"/>
            <w:tcBorders>
              <w:top w:val="single" w:color="BDC3C7" w:sz="1"/>
              <w:left w:val="single" w:color="BDC3C7" w:sz="1"/>
              <w:bottom w:val="single" w:color="BDC3C7" w:sz="1"/>
              <w:right w:val="single" w:color="BDC3C7" w:sz="1"/>
            </w:tcBorders>
            <w:shd w:fill="EBF5FB" w:val="clear"/>
            <w:tcMar>
              <w:top w:type="dxa" w:w="80"/>
              <w:left w:type="dxa" w:w="120"/>
              <w:bottom w:type="dxa" w:w="80"/>
              <w:right w:type="dxa" w:w="120"/>
            </w:tcMar>
          </w:tcPr>
          <w:p>
            <w:r>
              <w:rPr>
                <w:rFonts w:ascii="Arial" w:cs="Arial" w:eastAsia="Arial" w:hAnsi="Arial"/>
                <w:b/>
                <w:bCs/>
                <w:color w:val="1B4F72"/>
                <w:sz w:val="20"/>
                <w:szCs w:val="20"/>
              </w:rPr>
              <w:t xml:space="preserve">DEVELOPER PRODUCTIVITY  ($120)</w:t>
            </w:r>
          </w:p>
        </w:tc>
      </w:tr>
      <w:tr>
        <w:tc>
          <w:tcPr>
            <w:tcW w:type="dxa" w:w="2800"/>
            <w:tcBorders>
              <w:top w:val="single" w:color="BDC3C7" w:sz="1"/>
              <w:left w:val="single" w:color="BDC3C7" w:sz="1"/>
              <w:bottom w:val="single" w:color="BDC3C7" w:sz="1"/>
              <w:right w:val="single" w:color="BDC3C7"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222222"/>
                <w:sz w:val="20"/>
                <w:szCs w:val="20"/>
              </w:rPr>
              <w:t xml:space="preserve">Cursor Pro — annual plan</w:t>
            </w:r>
          </w:p>
        </w:tc>
        <w:tc>
          <w:tcPr>
            <w:tcW w:type="dxa" w:w="1500"/>
            <w:tcBorders>
              <w:top w:val="single" w:color="BDC3C7" w:sz="1"/>
              <w:left w:val="single" w:color="BDC3C7" w:sz="1"/>
              <w:bottom w:val="single" w:color="BDC3C7" w:sz="1"/>
              <w:right w:val="single" w:color="BDC3C7"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222222"/>
                <w:sz w:val="20"/>
                <w:szCs w:val="20"/>
              </w:rPr>
              <w:t xml:space="preserve">Dev</w:t>
            </w:r>
          </w:p>
        </w:tc>
        <w:tc>
          <w:tcPr>
            <w:tcW w:type="dxa" w:w="1600"/>
            <w:tcBorders>
              <w:top w:val="single" w:color="BDC3C7" w:sz="1"/>
              <w:left w:val="single" w:color="BDC3C7" w:sz="1"/>
              <w:bottom w:val="single" w:color="BDC3C7" w:sz="1"/>
              <w:right w:val="single" w:color="BDC3C7" w:sz="1"/>
            </w:tcBorders>
            <w:shd w:fill="FFFFFF" w:val="clear"/>
            <w:tcMar>
              <w:top w:type="dxa" w:w="80"/>
              <w:left w:type="dxa" w:w="120"/>
              <w:bottom w:type="dxa" w:w="80"/>
              <w:right w:type="dxa" w:w="120"/>
            </w:tcMar>
            <w:vAlign w:val="center"/>
          </w:tcPr>
          <w:p>
            <w:pPr>
              <w:jc w:val="right"/>
            </w:pPr>
            <w:r>
              <w:rPr>
                <w:rFonts w:ascii="Arial" w:cs="Arial" w:eastAsia="Arial" w:hAnsi="Arial"/>
                <w:b/>
                <w:bCs/>
                <w:color w:val="222222"/>
                <w:sz w:val="20"/>
                <w:szCs w:val="20"/>
              </w:rPr>
              <w:t xml:space="preserve">$120</w:t>
            </w:r>
          </w:p>
        </w:tc>
        <w:tc>
          <w:tcPr>
            <w:tcW w:type="dxa" w:w="3460"/>
            <w:tcBorders>
              <w:top w:val="single" w:color="BDC3C7" w:sz="1"/>
              <w:left w:val="single" w:color="BDC3C7" w:sz="1"/>
              <w:bottom w:val="single" w:color="BDC3C7" w:sz="1"/>
              <w:right w:val="single" w:color="BDC3C7"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222222"/>
                <w:sz w:val="20"/>
                <w:szCs w:val="20"/>
              </w:rPr>
              <w:t xml:space="preserve">$10/month billed annually. Highest-ROI tool spend for solo founder.</w:t>
            </w:r>
          </w:p>
        </w:tc>
      </w:tr>
      <w:tr>
        <w:tc>
          <w:tcPr>
            <w:tcW w:type="dxa" w:w="2800"/>
            <w:gridSpan w:val="4"/>
            <w:tcBorders>
              <w:top w:val="single" w:color="BDC3C7" w:sz="1"/>
              <w:left w:val="single" w:color="BDC3C7" w:sz="1"/>
              <w:bottom w:val="single" w:color="BDC3C7" w:sz="1"/>
              <w:right w:val="single" w:color="BDC3C7" w:sz="1"/>
            </w:tcBorders>
            <w:shd w:fill="EBF5FB" w:val="clear"/>
            <w:tcMar>
              <w:top w:type="dxa" w:w="80"/>
              <w:left w:type="dxa" w:w="120"/>
              <w:bottom w:type="dxa" w:w="80"/>
              <w:right w:type="dxa" w:w="120"/>
            </w:tcMar>
          </w:tcPr>
          <w:p>
            <w:r>
              <w:rPr>
                <w:rFonts w:ascii="Arial" w:cs="Arial" w:eastAsia="Arial" w:hAnsi="Arial"/>
                <w:b/>
                <w:bCs/>
                <w:color w:val="1B4F72"/>
                <w:sz w:val="20"/>
                <w:szCs w:val="20"/>
              </w:rPr>
              <w:t xml:space="preserve">MARKETING &amp; BRAND  ($360)</w:t>
            </w:r>
          </w:p>
        </w:tc>
      </w:tr>
      <w:tr>
        <w:tc>
          <w:tcPr>
            <w:tcW w:type="dxa" w:w="2800"/>
            <w:tcBorders>
              <w:top w:val="single" w:color="BDC3C7" w:sz="1"/>
              <w:left w:val="single" w:color="BDC3C7" w:sz="1"/>
              <w:bottom w:val="single" w:color="BDC3C7" w:sz="1"/>
              <w:right w:val="single" w:color="BDC3C7"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222222"/>
                <w:sz w:val="20"/>
                <w:szCs w:val="20"/>
              </w:rPr>
              <w:t xml:space="preserve">Logo / wordmark (Fiverr)</w:t>
            </w:r>
          </w:p>
        </w:tc>
        <w:tc>
          <w:tcPr>
            <w:tcW w:type="dxa" w:w="1500"/>
            <w:tcBorders>
              <w:top w:val="single" w:color="BDC3C7" w:sz="1"/>
              <w:left w:val="single" w:color="BDC3C7" w:sz="1"/>
              <w:bottom w:val="single" w:color="BDC3C7" w:sz="1"/>
              <w:right w:val="single" w:color="BDC3C7"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222222"/>
                <w:sz w:val="20"/>
                <w:szCs w:val="20"/>
              </w:rPr>
              <w:t xml:space="preserve">Marketing</w:t>
            </w:r>
          </w:p>
        </w:tc>
        <w:tc>
          <w:tcPr>
            <w:tcW w:type="dxa" w:w="1600"/>
            <w:tcBorders>
              <w:top w:val="single" w:color="BDC3C7" w:sz="1"/>
              <w:left w:val="single" w:color="BDC3C7" w:sz="1"/>
              <w:bottom w:val="single" w:color="BDC3C7" w:sz="1"/>
              <w:right w:val="single" w:color="BDC3C7" w:sz="1"/>
            </w:tcBorders>
            <w:shd w:fill="FFFFFF" w:val="clear"/>
            <w:tcMar>
              <w:top w:type="dxa" w:w="80"/>
              <w:left w:type="dxa" w:w="120"/>
              <w:bottom w:type="dxa" w:w="80"/>
              <w:right w:type="dxa" w:w="120"/>
            </w:tcMar>
            <w:vAlign w:val="center"/>
          </w:tcPr>
          <w:p>
            <w:pPr>
              <w:jc w:val="right"/>
            </w:pPr>
            <w:r>
              <w:rPr>
                <w:rFonts w:ascii="Arial" w:cs="Arial" w:eastAsia="Arial" w:hAnsi="Arial"/>
                <w:b w:val="false"/>
                <w:bCs w:val="false"/>
                <w:color w:val="222222"/>
                <w:sz w:val="20"/>
                <w:szCs w:val="20"/>
              </w:rPr>
              <w:t xml:space="preserve">$50</w:t>
            </w:r>
          </w:p>
        </w:tc>
        <w:tc>
          <w:tcPr>
            <w:tcW w:type="dxa" w:w="3460"/>
            <w:tcBorders>
              <w:top w:val="single" w:color="BDC3C7" w:sz="1"/>
              <w:left w:val="single" w:color="BDC3C7" w:sz="1"/>
              <w:bottom w:val="single" w:color="BDC3C7" w:sz="1"/>
              <w:right w:val="single" w:color="BDC3C7"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222222"/>
                <w:sz w:val="20"/>
                <w:szCs w:val="20"/>
              </w:rPr>
              <w:t xml:space="preserve">Polished icon required for all three store listings.</w:t>
            </w:r>
          </w:p>
        </w:tc>
      </w:tr>
      <w:tr>
        <w:tc>
          <w:tcPr>
            <w:tcW w:type="dxa" w:w="2800"/>
            <w:tcBorders>
              <w:top w:val="single" w:color="BDC3C7" w:sz="1"/>
              <w:left w:val="single" w:color="BDC3C7" w:sz="1"/>
              <w:bottom w:val="single" w:color="BDC3C7" w:sz="1"/>
              <w:right w:val="single" w:color="BDC3C7" w:sz="1"/>
            </w:tcBorders>
            <w:shd w:fill="F2F3F4" w:val="clear"/>
            <w:tcMar>
              <w:top w:type="dxa" w:w="80"/>
              <w:left w:type="dxa" w:w="120"/>
              <w:bottom w:type="dxa" w:w="80"/>
              <w:right w:type="dxa" w:w="120"/>
            </w:tcMar>
            <w:vAlign w:val="center"/>
          </w:tcPr>
          <w:p>
            <w:pPr>
              <w:jc w:val="left"/>
            </w:pPr>
            <w:r>
              <w:rPr>
                <w:rFonts w:ascii="Arial" w:cs="Arial" w:eastAsia="Arial" w:hAnsi="Arial"/>
                <w:b w:val="false"/>
                <w:bCs w:val="false"/>
                <w:color w:val="222222"/>
                <w:sz w:val="20"/>
                <w:szCs w:val="20"/>
              </w:rPr>
              <w:t xml:space="preserve">ASO tooling (AppTweak, 2 months)</w:t>
            </w:r>
          </w:p>
        </w:tc>
        <w:tc>
          <w:tcPr>
            <w:tcW w:type="dxa" w:w="1500"/>
            <w:tcBorders>
              <w:top w:val="single" w:color="BDC3C7" w:sz="1"/>
              <w:left w:val="single" w:color="BDC3C7" w:sz="1"/>
              <w:bottom w:val="single" w:color="BDC3C7" w:sz="1"/>
              <w:right w:val="single" w:color="BDC3C7" w:sz="1"/>
            </w:tcBorders>
            <w:shd w:fill="F2F3F4" w:val="clear"/>
            <w:tcMar>
              <w:top w:type="dxa" w:w="80"/>
              <w:left w:type="dxa" w:w="120"/>
              <w:bottom w:type="dxa" w:w="80"/>
              <w:right w:type="dxa" w:w="120"/>
            </w:tcMar>
            <w:vAlign w:val="center"/>
          </w:tcPr>
          <w:p>
            <w:pPr>
              <w:jc w:val="left"/>
            </w:pPr>
            <w:r>
              <w:rPr>
                <w:rFonts w:ascii="Arial" w:cs="Arial" w:eastAsia="Arial" w:hAnsi="Arial"/>
                <w:b w:val="false"/>
                <w:bCs w:val="false"/>
                <w:color w:val="222222"/>
                <w:sz w:val="20"/>
                <w:szCs w:val="20"/>
              </w:rPr>
              <w:t xml:space="preserve">Marketing</w:t>
            </w:r>
          </w:p>
        </w:tc>
        <w:tc>
          <w:tcPr>
            <w:tcW w:type="dxa" w:w="1600"/>
            <w:tcBorders>
              <w:top w:val="single" w:color="BDC3C7" w:sz="1"/>
              <w:left w:val="single" w:color="BDC3C7" w:sz="1"/>
              <w:bottom w:val="single" w:color="BDC3C7" w:sz="1"/>
              <w:right w:val="single" w:color="BDC3C7" w:sz="1"/>
            </w:tcBorders>
            <w:shd w:fill="F2F3F4" w:val="clear"/>
            <w:tcMar>
              <w:top w:type="dxa" w:w="80"/>
              <w:left w:type="dxa" w:w="120"/>
              <w:bottom w:type="dxa" w:w="80"/>
              <w:right w:type="dxa" w:w="120"/>
            </w:tcMar>
            <w:vAlign w:val="center"/>
          </w:tcPr>
          <w:p>
            <w:pPr>
              <w:jc w:val="right"/>
            </w:pPr>
            <w:r>
              <w:rPr>
                <w:rFonts w:ascii="Arial" w:cs="Arial" w:eastAsia="Arial" w:hAnsi="Arial"/>
                <w:b w:val="false"/>
                <w:bCs w:val="false"/>
                <w:color w:val="222222"/>
                <w:sz w:val="20"/>
                <w:szCs w:val="20"/>
              </w:rPr>
              <w:t xml:space="preserve">$60</w:t>
            </w:r>
          </w:p>
        </w:tc>
        <w:tc>
          <w:tcPr>
            <w:tcW w:type="dxa" w:w="3460"/>
            <w:tcBorders>
              <w:top w:val="single" w:color="BDC3C7" w:sz="1"/>
              <w:left w:val="single" w:color="BDC3C7" w:sz="1"/>
              <w:bottom w:val="single" w:color="BDC3C7" w:sz="1"/>
              <w:right w:val="single" w:color="BDC3C7" w:sz="1"/>
            </w:tcBorders>
            <w:shd w:fill="F2F3F4" w:val="clear"/>
            <w:tcMar>
              <w:top w:type="dxa" w:w="80"/>
              <w:left w:type="dxa" w:w="120"/>
              <w:bottom w:type="dxa" w:w="80"/>
              <w:right w:type="dxa" w:w="120"/>
            </w:tcMar>
            <w:vAlign w:val="center"/>
          </w:tcPr>
          <w:p>
            <w:pPr>
              <w:jc w:val="left"/>
            </w:pPr>
            <w:r>
              <w:rPr>
                <w:rFonts w:ascii="Arial" w:cs="Arial" w:eastAsia="Arial" w:hAnsi="Arial"/>
                <w:b w:val="false"/>
                <w:bCs w:val="false"/>
                <w:color w:val="222222"/>
                <w:sz w:val="20"/>
                <w:szCs w:val="20"/>
              </w:rPr>
              <w:t xml:space="preserve">Keyword research burst, then cancel. Compounds for years.</w:t>
            </w:r>
          </w:p>
        </w:tc>
      </w:tr>
      <w:tr>
        <w:tc>
          <w:tcPr>
            <w:tcW w:type="dxa" w:w="2800"/>
            <w:tcBorders>
              <w:top w:val="single" w:color="BDC3C7" w:sz="1"/>
              <w:left w:val="single" w:color="BDC3C7" w:sz="1"/>
              <w:bottom w:val="single" w:color="BDC3C7" w:sz="1"/>
              <w:right w:val="single" w:color="BDC3C7"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222222"/>
                <w:sz w:val="20"/>
                <w:szCs w:val="20"/>
              </w:rPr>
              <w:t xml:space="preserve">Apple Search Ads — learning budget</w:t>
            </w:r>
          </w:p>
        </w:tc>
        <w:tc>
          <w:tcPr>
            <w:tcW w:type="dxa" w:w="1500"/>
            <w:tcBorders>
              <w:top w:val="single" w:color="BDC3C7" w:sz="1"/>
              <w:left w:val="single" w:color="BDC3C7" w:sz="1"/>
              <w:bottom w:val="single" w:color="BDC3C7" w:sz="1"/>
              <w:right w:val="single" w:color="BDC3C7"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222222"/>
                <w:sz w:val="20"/>
                <w:szCs w:val="20"/>
              </w:rPr>
              <w:t xml:space="preserve">Marketing</w:t>
            </w:r>
          </w:p>
        </w:tc>
        <w:tc>
          <w:tcPr>
            <w:tcW w:type="dxa" w:w="1600"/>
            <w:tcBorders>
              <w:top w:val="single" w:color="BDC3C7" w:sz="1"/>
              <w:left w:val="single" w:color="BDC3C7" w:sz="1"/>
              <w:bottom w:val="single" w:color="BDC3C7" w:sz="1"/>
              <w:right w:val="single" w:color="BDC3C7" w:sz="1"/>
            </w:tcBorders>
            <w:shd w:fill="FFFFFF" w:val="clear"/>
            <w:tcMar>
              <w:top w:type="dxa" w:w="80"/>
              <w:left w:type="dxa" w:w="120"/>
              <w:bottom w:type="dxa" w:w="80"/>
              <w:right w:type="dxa" w:w="120"/>
            </w:tcMar>
            <w:vAlign w:val="center"/>
          </w:tcPr>
          <w:p>
            <w:pPr>
              <w:jc w:val="right"/>
            </w:pPr>
            <w:r>
              <w:rPr>
                <w:rFonts w:ascii="Arial" w:cs="Arial" w:eastAsia="Arial" w:hAnsi="Arial"/>
                <w:b/>
                <w:bCs/>
                <w:color w:val="222222"/>
                <w:sz w:val="20"/>
                <w:szCs w:val="20"/>
              </w:rPr>
              <w:t xml:space="preserve">$250</w:t>
            </w:r>
          </w:p>
        </w:tc>
        <w:tc>
          <w:tcPr>
            <w:tcW w:type="dxa" w:w="3460"/>
            <w:tcBorders>
              <w:top w:val="single" w:color="BDC3C7" w:sz="1"/>
              <w:left w:val="single" w:color="BDC3C7" w:sz="1"/>
              <w:bottom w:val="single" w:color="BDC3C7" w:sz="1"/>
              <w:right w:val="single" w:color="BDC3C7"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222222"/>
                <w:sz w:val="20"/>
                <w:szCs w:val="20"/>
              </w:rPr>
              <w:t xml:space="preserve">5–8 weeks at $30–50/week. Goal: conversion data, not scale.</w:t>
            </w:r>
          </w:p>
        </w:tc>
      </w:tr>
      <w:tr>
        <w:tc>
          <w:tcPr>
            <w:tcW w:type="dxa" w:w="2800"/>
            <w:gridSpan w:val="4"/>
            <w:tcBorders>
              <w:top w:val="single" w:color="BDC3C7" w:sz="1"/>
              <w:left w:val="single" w:color="BDC3C7" w:sz="1"/>
              <w:bottom w:val="single" w:color="BDC3C7" w:sz="1"/>
              <w:right w:val="single" w:color="BDC3C7" w:sz="1"/>
            </w:tcBorders>
            <w:shd w:fill="EBF5FB" w:val="clear"/>
            <w:tcMar>
              <w:top w:type="dxa" w:w="80"/>
              <w:left w:type="dxa" w:w="120"/>
              <w:bottom w:type="dxa" w:w="80"/>
              <w:right w:type="dxa" w:w="120"/>
            </w:tcMar>
          </w:tcPr>
          <w:p>
            <w:r>
              <w:rPr>
                <w:rFonts w:ascii="Arial" w:cs="Arial" w:eastAsia="Arial" w:hAnsi="Arial"/>
                <w:b/>
                <w:bCs/>
                <w:color w:val="1B4F72"/>
                <w:sz w:val="20"/>
                <w:szCs w:val="20"/>
              </w:rPr>
              <w:t xml:space="preserve">INFRASTRUCTURE BUFFER &amp; TESTING  ($127)</w:t>
            </w:r>
          </w:p>
        </w:tc>
      </w:tr>
      <w:tr>
        <w:tc>
          <w:tcPr>
            <w:tcW w:type="dxa" w:w="2800"/>
            <w:tcBorders>
              <w:top w:val="single" w:color="BDC3C7" w:sz="1"/>
              <w:left w:val="single" w:color="BDC3C7" w:sz="1"/>
              <w:bottom w:val="single" w:color="BDC3C7" w:sz="1"/>
              <w:right w:val="single" w:color="BDC3C7"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222222"/>
                <w:sz w:val="20"/>
                <w:szCs w:val="20"/>
              </w:rPr>
              <w:t xml:space="preserve">Scale-up contingency reserve</w:t>
            </w:r>
          </w:p>
        </w:tc>
        <w:tc>
          <w:tcPr>
            <w:tcW w:type="dxa" w:w="1500"/>
            <w:tcBorders>
              <w:top w:val="single" w:color="BDC3C7" w:sz="1"/>
              <w:left w:val="single" w:color="BDC3C7" w:sz="1"/>
              <w:bottom w:val="single" w:color="BDC3C7" w:sz="1"/>
              <w:right w:val="single" w:color="BDC3C7"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222222"/>
                <w:sz w:val="20"/>
                <w:szCs w:val="20"/>
              </w:rPr>
              <w:t xml:space="preserve">Testing / Ops</w:t>
            </w:r>
          </w:p>
        </w:tc>
        <w:tc>
          <w:tcPr>
            <w:tcW w:type="dxa" w:w="1600"/>
            <w:tcBorders>
              <w:top w:val="single" w:color="BDC3C7" w:sz="1"/>
              <w:left w:val="single" w:color="BDC3C7" w:sz="1"/>
              <w:bottom w:val="single" w:color="BDC3C7" w:sz="1"/>
              <w:right w:val="single" w:color="BDC3C7" w:sz="1"/>
            </w:tcBorders>
            <w:shd w:fill="FFFFFF" w:val="clear"/>
            <w:tcMar>
              <w:top w:type="dxa" w:w="80"/>
              <w:left w:type="dxa" w:w="120"/>
              <w:bottom w:type="dxa" w:w="80"/>
              <w:right w:type="dxa" w:w="120"/>
            </w:tcMar>
            <w:vAlign w:val="center"/>
          </w:tcPr>
          <w:p>
            <w:pPr>
              <w:jc w:val="right"/>
            </w:pPr>
            <w:r>
              <w:rPr>
                <w:rFonts w:ascii="Arial" w:cs="Arial" w:eastAsia="Arial" w:hAnsi="Arial"/>
                <w:b/>
                <w:bCs/>
                <w:color w:val="222222"/>
                <w:sz w:val="20"/>
                <w:szCs w:val="20"/>
              </w:rPr>
              <w:t xml:space="preserve">$127</w:t>
            </w:r>
          </w:p>
        </w:tc>
        <w:tc>
          <w:tcPr>
            <w:tcW w:type="dxa" w:w="3460"/>
            <w:tcBorders>
              <w:top w:val="single" w:color="BDC3C7" w:sz="1"/>
              <w:left w:val="single" w:color="BDC3C7" w:sz="1"/>
              <w:bottom w:val="single" w:color="BDC3C7" w:sz="1"/>
              <w:right w:val="single" w:color="BDC3C7"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222222"/>
                <w:sz w:val="20"/>
                <w:szCs w:val="20"/>
              </w:rPr>
              <w:t xml:space="preserve">First Supabase Pro + PowerSync upgrade + Sentry paid + $40 emergency. Triggered at 1,000 MAU.</w:t>
            </w:r>
          </w:p>
        </w:tc>
      </w:tr>
      <w:tr>
        <w:tc>
          <w:tcPr>
            <w:tcW w:type="dxa" w:w="2800"/>
            <w:tcBorders>
              <w:top w:val="single" w:color="BDC3C7" w:sz="1"/>
              <w:left w:val="single" w:color="BDC3C7" w:sz="1"/>
              <w:bottom w:val="single" w:color="BDC3C7" w:sz="1"/>
              <w:right w:val="single" w:color="BDC3C7" w:sz="1"/>
            </w:tcBorders>
            <w:shd w:fill="1B4F72" w:val="clear"/>
            <w:tcMar>
              <w:top w:type="dxa" w:w="80"/>
              <w:left w:type="dxa" w:w="120"/>
              <w:bottom w:type="dxa" w:w="80"/>
              <w:right w:type="dxa" w:w="120"/>
            </w:tcMar>
          </w:tcPr>
          <w:p>
            <w:pPr>
              <w:jc w:val="left"/>
            </w:pPr>
            <w:r>
              <w:rPr>
                <w:rFonts w:ascii="Arial" w:cs="Arial" w:eastAsia="Arial" w:hAnsi="Arial"/>
                <w:b/>
                <w:bCs/>
                <w:color w:val="FFFFFF"/>
                <w:sz w:val="22"/>
                <w:szCs w:val="22"/>
              </w:rPr>
              <w:t xml:space="preserve">TOTAL</w:t>
            </w:r>
          </w:p>
        </w:tc>
        <w:tc>
          <w:tcPr>
            <w:tcW w:type="dxa" w:w="1500"/>
            <w:tcBorders>
              <w:top w:val="single" w:color="BDC3C7" w:sz="1"/>
              <w:left w:val="single" w:color="BDC3C7" w:sz="1"/>
              <w:bottom w:val="single" w:color="BDC3C7" w:sz="1"/>
              <w:right w:val="single" w:color="BDC3C7" w:sz="1"/>
            </w:tcBorders>
            <w:shd w:fill="1B4F72" w:val="clear"/>
            <w:tcMar>
              <w:top w:type="dxa" w:w="80"/>
              <w:left w:type="dxa" w:w="120"/>
              <w:bottom w:type="dxa" w:w="80"/>
              <w:right w:type="dxa" w:w="120"/>
            </w:tcMar>
          </w:tcPr>
          <w:p/>
        </w:tc>
        <w:tc>
          <w:tcPr>
            <w:tcW w:type="dxa" w:w="1600"/>
            <w:tcBorders>
              <w:top w:val="single" w:color="BDC3C7" w:sz="1"/>
              <w:left w:val="single" w:color="BDC3C7" w:sz="1"/>
              <w:bottom w:val="single" w:color="BDC3C7" w:sz="1"/>
              <w:right w:val="single" w:color="BDC3C7" w:sz="1"/>
            </w:tcBorders>
            <w:shd w:fill="1B4F72" w:val="clear"/>
            <w:tcMar>
              <w:top w:type="dxa" w:w="80"/>
              <w:left w:type="dxa" w:w="120"/>
              <w:bottom w:type="dxa" w:w="80"/>
              <w:right w:type="dxa" w:w="120"/>
            </w:tcMar>
          </w:tcPr>
          <w:p>
            <w:pPr>
              <w:jc w:val="right"/>
            </w:pPr>
            <w:r>
              <w:rPr>
                <w:rFonts w:ascii="Arial" w:cs="Arial" w:eastAsia="Arial" w:hAnsi="Arial"/>
                <w:b/>
                <w:bCs/>
                <w:color w:val="FFFFFF"/>
                <w:sz w:val="22"/>
                <w:szCs w:val="22"/>
              </w:rPr>
              <w:t xml:space="preserve">$800</w:t>
            </w:r>
          </w:p>
        </w:tc>
        <w:tc>
          <w:tcPr>
            <w:tcW w:type="dxa" w:w="3460"/>
            <w:tcBorders>
              <w:top w:val="single" w:color="BDC3C7" w:sz="1"/>
              <w:left w:val="single" w:color="BDC3C7" w:sz="1"/>
              <w:bottom w:val="single" w:color="BDC3C7" w:sz="1"/>
              <w:right w:val="single" w:color="BDC3C7" w:sz="1"/>
            </w:tcBorders>
            <w:shd w:fill="1B4F72" w:val="clear"/>
            <w:tcMar>
              <w:top w:type="dxa" w:w="80"/>
              <w:left w:type="dxa" w:w="120"/>
              <w:bottom w:type="dxa" w:w="80"/>
              <w:right w:type="dxa" w:w="120"/>
            </w:tcMar>
          </w:tcPr>
          <w:p>
            <w:pPr>
              <w:jc w:val="left"/>
            </w:pPr>
            <w:r>
              <w:rPr>
                <w:rFonts w:ascii="Arial" w:cs="Arial" w:eastAsia="Arial" w:hAnsi="Arial"/>
                <w:i/>
                <w:iCs/>
                <w:color w:val="BDC3C7"/>
                <w:sz w:val="18"/>
                <w:szCs w:val="18"/>
              </w:rPr>
              <w:t xml:space="preserve">Subject to change as client base grows</w:t>
            </w:r>
          </w:p>
        </w:tc>
      </w:tr>
    </w:tbl>
    <w:p>
      <w:pPr>
        <w:spacing w:after="0" w:before="120"/>
      </w:pPr>
    </w:p>
    <w:p>
      <w:pPr>
        <w:spacing w:after="80" w:before="80"/>
        <w:jc w:val="left"/>
      </w:pPr>
      <w:r>
        <w:rPr>
          <w:rFonts w:ascii="Arial" w:cs="Arial" w:eastAsia="Arial" w:hAnsi="Arial"/>
          <w:b/>
          <w:bCs/>
          <w:i w:val="false"/>
          <w:iCs w:val="false"/>
          <w:color w:val="222222"/>
          <w:sz w:val="22"/>
          <w:szCs w:val="22"/>
        </w:rPr>
        <w:t xml:space="preserve">Total: $193 (mandatory) + $120 (dev) + $360 (marketing) + $127 (buffer) = $800.</w:t>
      </w:r>
    </w:p>
    <w:p>
      <w:pPr>
        <w:spacing w:after="0" w:before="80"/>
      </w:pPr>
    </w:p>
    <w:p>
      <w:pPr>
        <w:spacing w:after="80" w:before="80"/>
        <w:jc w:val="left"/>
      </w:pPr>
      <w:r>
        <w:rPr>
          <w:rFonts w:ascii="Arial" w:cs="Arial" w:eastAsia="Arial" w:hAnsi="Arial"/>
          <w:b/>
          <w:bCs/>
          <w:i w:val="false"/>
          <w:iCs w:val="false"/>
          <w:color w:val="222222"/>
          <w:sz w:val="22"/>
          <w:szCs w:val="22"/>
        </w:rPr>
        <w:t xml:space="preserve">What this budget does not include:</w:t>
      </w:r>
    </w:p>
    <w:p>
      <w:pPr>
        <w:pStyle w:val="ListParagraph"/>
        <w:numPr>
          <w:ilvl w:val="0"/>
          <w:numId w:val="2"/>
        </w:numPr>
        <w:spacing w:after="40" w:before="40"/>
      </w:pPr>
      <w:r>
        <w:rPr>
          <w:rFonts w:ascii="Arial" w:cs="Arial" w:eastAsia="Arial" w:hAnsi="Arial"/>
          <w:color w:val="222222"/>
          <w:sz w:val="22"/>
          <w:szCs w:val="22"/>
        </w:rPr>
        <w:t xml:space="preserve">LLC formation — deferred until first revenue. Legal risk is theoretical at zero users.</w:t>
      </w:r>
    </w:p>
    <w:p>
      <w:pPr>
        <w:pStyle w:val="ListParagraph"/>
        <w:numPr>
          <w:ilvl w:val="0"/>
          <w:numId w:val="2"/>
        </w:numPr>
        <w:spacing w:after="40" w:before="40"/>
      </w:pPr>
      <w:r>
        <w:rPr>
          <w:rFonts w:ascii="Arial" w:cs="Arial" w:eastAsia="Arial" w:hAnsi="Arial"/>
          <w:color w:val="222222"/>
          <w:sz w:val="22"/>
          <w:szCs w:val="22"/>
        </w:rPr>
        <w:t xml:space="preserve">Liability insurance — deferred to Phase 2 (post-launch, 1,000+ users, AI plans in production).</w:t>
      </w:r>
    </w:p>
    <w:p>
      <w:pPr>
        <w:pStyle w:val="ListParagraph"/>
        <w:numPr>
          <w:ilvl w:val="0"/>
          <w:numId w:val="2"/>
        </w:numPr>
        <w:spacing w:after="40" w:before="40"/>
      </w:pPr>
      <w:r>
        <w:rPr>
          <w:rFonts w:ascii="Arial" w:cs="Arial" w:eastAsia="Arial" w:hAnsi="Arial"/>
          <w:color w:val="222222"/>
          <w:sz w:val="22"/>
          <w:szCs w:val="22"/>
        </w:rPr>
        <w:t xml:space="preserve">Microsoft Store company account upgrade — deferred until incorporation.</w:t>
      </w:r>
    </w:p>
    <w:p>
      <w:pPr>
        <w:pStyle w:val="ListParagraph"/>
        <w:numPr>
          <w:ilvl w:val="0"/>
          <w:numId w:val="2"/>
        </w:numPr>
        <w:spacing w:after="40" w:before="40"/>
      </w:pPr>
      <w:r>
        <w:rPr>
          <w:rFonts w:ascii="Arial" w:cs="Arial" w:eastAsia="Arial" w:hAnsi="Arial"/>
          <w:color w:val="222222"/>
          <w:sz w:val="22"/>
          <w:szCs w:val="22"/>
        </w:rPr>
        <w:t xml:space="preserve">Paid Slack, Notion, or team tools — solo founder, no team.</w:t>
      </w:r>
    </w:p>
    <w:p>
      <w:pPr>
        <w:pStyle w:val="ListParagraph"/>
        <w:numPr>
          <w:ilvl w:val="0"/>
          <w:numId w:val="2"/>
        </w:numPr>
        <w:spacing w:after="40" w:before="40"/>
      </w:pPr>
      <w:r>
        <w:rPr>
          <w:rFonts w:ascii="Arial" w:cs="Arial" w:eastAsia="Arial" w:hAnsi="Arial"/>
          <w:color w:val="222222"/>
          <w:sz w:val="22"/>
          <w:szCs w:val="22"/>
        </w:rPr>
        <w:t xml:space="preserve">Windows code-signing certificate — unnecessary for Store distribution.</w:t>
      </w:r>
    </w:p>
    <w:p>
      <w:pPr>
        <w:pStyle w:val="ListParagraph"/>
        <w:numPr>
          <w:ilvl w:val="0"/>
          <w:numId w:val="2"/>
        </w:numPr>
        <w:spacing w:after="40" w:before="40"/>
      </w:pPr>
      <w:r>
        <w:rPr>
          <w:rFonts w:ascii="Arial" w:cs="Arial" w:eastAsia="Arial" w:hAnsi="Arial"/>
          <w:color w:val="222222"/>
          <w:sz w:val="22"/>
          <w:szCs w:val="22"/>
        </w:rPr>
        <w:t xml:space="preserve">Privacy policy (paid tier) — Termly free covers submission requirements.</w:t>
      </w:r>
    </w:p>
    <w:p>
      <w:pPr>
        <w:spacing w:after="0" w:before="160"/>
      </w:pPr>
    </w:p>
    <w:p>
      <w:pPr>
        <w:pStyle w:val="Heading1"/>
      </w:pPr>
      <w:r>
        <w:rPr>
          <w:rFonts w:ascii="Arial" w:cs="Arial" w:eastAsia="Arial" w:hAnsi="Arial"/>
          <w:b/>
          <w:bCs/>
          <w:color w:val="1B4F72"/>
          <w:sz w:val="32"/>
          <w:szCs w:val="32"/>
        </w:rPr>
        <w:t xml:space="preserve">5. Steel-Man Decision Summary</w:t>
      </w:r>
    </w:p>
    <w:p>
      <w:pPr>
        <w:spacing w:after="80" w:before="80"/>
        <w:jc w:val="left"/>
      </w:pPr>
      <w:r>
        <w:rPr>
          <w:rFonts w:ascii="Arial" w:cs="Arial" w:eastAsia="Arial" w:hAnsi="Arial"/>
          <w:b w:val="false"/>
          <w:bCs w:val="false"/>
          <w:i w:val="false"/>
          <w:iCs w:val="false"/>
          <w:color w:val="222222"/>
          <w:sz w:val="22"/>
          <w:szCs w:val="22"/>
        </w:rPr>
        <w:t xml:space="preserve">Every material allocation decision was tested against its strongest counter-argument. The table below documents the full record. Decisions where the counter-argument was close are noted; none reversed the recommendation, but two (ASO tools, Apple Search Ads) were adjusted as a result of the steel-man process.</w:t>
      </w:r>
    </w:p>
    <w:p>
      <w:pPr>
        <w:spacing w:after="0" w:before="12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3200"/>
        <w:gridCol w:w="3960"/>
      </w:tblGrid>
      <w:tr>
        <w:tc>
          <w:tcPr>
            <w:tcW w:type="dxa" w:w="2200"/>
            <w:tcBorders>
              <w:top w:val="single" w:color="FFFFFF" w:sz="1"/>
              <w:left w:val="single" w:color="FFFFFF" w:sz="1"/>
              <w:bottom w:val="single" w:color="FFFFFF" w:sz="1"/>
              <w:right w:val="single" w:color="FFFFFF" w:sz="1"/>
            </w:tcBorders>
            <w:shd w:fill="2E86C1" w:val="clear"/>
            <w:tcMar>
              <w:top w:type="dxa" w:w="80"/>
              <w:left w:type="dxa" w:w="120"/>
              <w:bottom w:type="dxa" w:w="80"/>
              <w:right w:type="dxa" w:w="120"/>
            </w:tcMar>
            <w:vAlign w:val="center"/>
          </w:tcPr>
          <w:p>
            <w:pPr>
              <w:jc w:val="left"/>
            </w:pPr>
            <w:r>
              <w:rPr>
                <w:rFonts w:ascii="Arial" w:cs="Arial" w:eastAsia="Arial" w:hAnsi="Arial"/>
                <w:b/>
                <w:bCs/>
                <w:color w:val="FFFFFF"/>
                <w:sz w:val="20"/>
                <w:szCs w:val="20"/>
              </w:rPr>
              <w:t xml:space="preserve">Decision</w:t>
            </w:r>
          </w:p>
        </w:tc>
        <w:tc>
          <w:tcPr>
            <w:tcW w:type="dxa" w:w="3200"/>
            <w:tcBorders>
              <w:top w:val="single" w:color="FFFFFF" w:sz="1"/>
              <w:left w:val="single" w:color="FFFFFF" w:sz="1"/>
              <w:bottom w:val="single" w:color="FFFFFF" w:sz="1"/>
              <w:right w:val="single" w:color="FFFFFF" w:sz="1"/>
            </w:tcBorders>
            <w:shd w:fill="D35400" w:val="clear"/>
            <w:tcMar>
              <w:top w:type="dxa" w:w="80"/>
              <w:left w:type="dxa" w:w="120"/>
              <w:bottom w:type="dxa" w:w="80"/>
              <w:right w:type="dxa" w:w="120"/>
            </w:tcMar>
            <w:vAlign w:val="center"/>
          </w:tcPr>
          <w:p>
            <w:pPr>
              <w:jc w:val="left"/>
            </w:pPr>
            <w:r>
              <w:rPr>
                <w:rFonts w:ascii="Arial" w:cs="Arial" w:eastAsia="Arial" w:hAnsi="Arial"/>
                <w:b/>
                <w:bCs/>
                <w:color w:val="FFFFFF"/>
                <w:sz w:val="20"/>
                <w:szCs w:val="20"/>
              </w:rPr>
              <w:t xml:space="preserve">Strongest Counter-Argument</w:t>
            </w:r>
          </w:p>
        </w:tc>
        <w:tc>
          <w:tcPr>
            <w:tcW w:type="dxa" w:w="3960"/>
            <w:tcBorders>
              <w:top w:val="single" w:color="FFFFFF" w:sz="1"/>
              <w:left w:val="single" w:color="FFFFFF" w:sz="1"/>
              <w:bottom w:val="single" w:color="FFFFFF" w:sz="1"/>
              <w:right w:val="single" w:color="FFFFFF" w:sz="1"/>
            </w:tcBorders>
            <w:shd w:fill="2E86C1" w:val="clear"/>
            <w:tcMar>
              <w:top w:type="dxa" w:w="80"/>
              <w:left w:type="dxa" w:w="120"/>
              <w:bottom w:type="dxa" w:w="80"/>
              <w:right w:type="dxa" w:w="120"/>
            </w:tcMar>
            <w:vAlign w:val="center"/>
          </w:tcPr>
          <w:p>
            <w:pPr>
              <w:jc w:val="left"/>
            </w:pPr>
            <w:r>
              <w:rPr>
                <w:rFonts w:ascii="Arial" w:cs="Arial" w:eastAsia="Arial" w:hAnsi="Arial"/>
                <w:b/>
                <w:bCs/>
                <w:color w:val="FFFFFF"/>
                <w:sz w:val="20"/>
                <w:szCs w:val="20"/>
              </w:rPr>
              <w:t xml:space="preserve">Why We Hold the Recommendation</w:t>
            </w:r>
          </w:p>
        </w:tc>
      </w:tr>
      <w:tr>
        <w:tc>
          <w:tcPr>
            <w:tcW w:type="dxa" w:w="2200"/>
            <w:tcBorders>
              <w:top w:val="single" w:color="BDC3C7" w:sz="1"/>
              <w:left w:val="single" w:color="BDC3C7" w:sz="1"/>
              <w:bottom w:val="single" w:color="BDC3C7" w:sz="1"/>
              <w:right w:val="single" w:color="BDC3C7"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222222"/>
                <w:sz w:val="20"/>
                <w:szCs w:val="20"/>
              </w:rPr>
              <w:t xml:space="preserve">Cursor $120 vs. zero dev tools spend</w:t>
            </w:r>
          </w:p>
        </w:tc>
        <w:tc>
          <w:tcPr>
            <w:tcW w:type="dxa" w:w="3200"/>
            <w:tcBorders>
              <w:top w:val="single" w:color="BDC3C7" w:sz="1"/>
              <w:left w:val="single" w:color="BDC3C7" w:sz="1"/>
              <w:bottom w:val="single" w:color="BDC3C7" w:sz="1"/>
              <w:right w:val="single" w:color="BDC3C7"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D35400"/>
                <w:sz w:val="20"/>
                <w:szCs w:val="20"/>
              </w:rPr>
              <w:t xml:space="preserve">$120 spent on tooling is $120 not spent on acquiring first users. Free alternatives (GitHub Copilot free, Claude web UI) exist.</w:t>
            </w:r>
          </w:p>
        </w:tc>
        <w:tc>
          <w:tcPr>
            <w:tcW w:type="dxa" w:w="3960"/>
            <w:tcBorders>
              <w:top w:val="single" w:color="BDC3C7" w:sz="1"/>
              <w:left w:val="single" w:color="BDC3C7" w:sz="1"/>
              <w:bottom w:val="single" w:color="BDC3C7" w:sz="1"/>
              <w:right w:val="single" w:color="BDC3C7"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222222"/>
                <w:sz w:val="20"/>
                <w:szCs w:val="20"/>
              </w:rPr>
              <w:t xml:space="preserve">Solo founder bottleneck is shipping velocity, not marketing budget — at pre-traction stage. Every week saved shipping is a week earlier the organic compounding clock starts.</w:t>
            </w:r>
          </w:p>
        </w:tc>
      </w:tr>
      <w:tr>
        <w:tc>
          <w:tcPr>
            <w:tcW w:type="dxa" w:w="2200"/>
            <w:tcBorders>
              <w:top w:val="single" w:color="BDC3C7" w:sz="1"/>
              <w:left w:val="single" w:color="BDC3C7" w:sz="1"/>
              <w:bottom w:val="single" w:color="BDC3C7" w:sz="1"/>
              <w:right w:val="single" w:color="BDC3C7" w:sz="1"/>
            </w:tcBorders>
            <w:shd w:fill="F2F3F4" w:val="clear"/>
            <w:tcMar>
              <w:top w:type="dxa" w:w="80"/>
              <w:left w:type="dxa" w:w="120"/>
              <w:bottom w:type="dxa" w:w="80"/>
              <w:right w:type="dxa" w:w="120"/>
            </w:tcMar>
            <w:vAlign w:val="center"/>
          </w:tcPr>
          <w:p>
            <w:pPr>
              <w:jc w:val="left"/>
            </w:pPr>
            <w:r>
              <w:rPr>
                <w:rFonts w:ascii="Arial" w:cs="Arial" w:eastAsia="Arial" w:hAnsi="Arial"/>
                <w:b w:val="false"/>
                <w:bCs w:val="false"/>
                <w:color w:val="222222"/>
                <w:sz w:val="20"/>
                <w:szCs w:val="20"/>
              </w:rPr>
              <w:t xml:space="preserve">$50 on logo vs. DIY</w:t>
            </w:r>
          </w:p>
        </w:tc>
        <w:tc>
          <w:tcPr>
            <w:tcW w:type="dxa" w:w="3200"/>
            <w:tcBorders>
              <w:top w:val="single" w:color="BDC3C7" w:sz="1"/>
              <w:left w:val="single" w:color="BDC3C7" w:sz="1"/>
              <w:bottom w:val="single" w:color="BDC3C7" w:sz="1"/>
              <w:right w:val="single" w:color="BDC3C7" w:sz="1"/>
            </w:tcBorders>
            <w:shd w:fill="F2F3F4" w:val="clear"/>
            <w:tcMar>
              <w:top w:type="dxa" w:w="80"/>
              <w:left w:type="dxa" w:w="120"/>
              <w:bottom w:type="dxa" w:w="80"/>
              <w:right w:type="dxa" w:w="120"/>
            </w:tcMar>
            <w:vAlign w:val="center"/>
          </w:tcPr>
          <w:p>
            <w:pPr>
              <w:jc w:val="left"/>
            </w:pPr>
            <w:r>
              <w:rPr>
                <w:rFonts w:ascii="Arial" w:cs="Arial" w:eastAsia="Arial" w:hAnsi="Arial"/>
                <w:b w:val="false"/>
                <w:bCs w:val="false"/>
                <w:color w:val="D35400"/>
                <w:sz w:val="20"/>
                <w:szCs w:val="20"/>
              </w:rPr>
              <w:t xml:space="preserve">Canva free tier produces a functional icon. $50 is one-third of a paid install on Meta. Why spend it on vanity?</w:t>
            </w:r>
          </w:p>
        </w:tc>
        <w:tc>
          <w:tcPr>
            <w:tcW w:type="dxa" w:w="3960"/>
            <w:tcBorders>
              <w:top w:val="single" w:color="BDC3C7" w:sz="1"/>
              <w:left w:val="single" w:color="BDC3C7" w:sz="1"/>
              <w:bottom w:val="single" w:color="BDC3C7" w:sz="1"/>
              <w:right w:val="single" w:color="BDC3C7" w:sz="1"/>
            </w:tcBorders>
            <w:shd w:fill="F2F3F4" w:val="clear"/>
            <w:tcMar>
              <w:top w:type="dxa" w:w="80"/>
              <w:left w:type="dxa" w:w="120"/>
              <w:bottom w:type="dxa" w:w="80"/>
              <w:right w:type="dxa" w:w="120"/>
            </w:tcMar>
            <w:vAlign w:val="center"/>
          </w:tcPr>
          <w:p>
            <w:pPr>
              <w:jc w:val="left"/>
            </w:pPr>
            <w:r>
              <w:rPr>
                <w:rFonts w:ascii="Arial" w:cs="Arial" w:eastAsia="Arial" w:hAnsi="Arial"/>
                <w:b w:val="false"/>
                <w:bCs w:val="false"/>
                <w:color w:val="222222"/>
                <w:sz w:val="20"/>
                <w:szCs w:val="20"/>
              </w:rPr>
              <w:t xml:space="preserve">App Store conversion rate studies consistently show icon quality correlates with tap-through. A weak icon dilutes every dollar of ASO and paid ads. $50 is the minimum viable investment.</w:t>
            </w:r>
          </w:p>
        </w:tc>
      </w:tr>
      <w:tr>
        <w:tc>
          <w:tcPr>
            <w:tcW w:type="dxa" w:w="2200"/>
            <w:tcBorders>
              <w:top w:val="single" w:color="BDC3C7" w:sz="1"/>
              <w:left w:val="single" w:color="BDC3C7" w:sz="1"/>
              <w:bottom w:val="single" w:color="BDC3C7" w:sz="1"/>
              <w:right w:val="single" w:color="BDC3C7"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222222"/>
                <w:sz w:val="20"/>
                <w:szCs w:val="20"/>
              </w:rPr>
              <w:t xml:space="preserve">$60 ASO tools vs. free keyword research</w:t>
            </w:r>
          </w:p>
        </w:tc>
        <w:tc>
          <w:tcPr>
            <w:tcW w:type="dxa" w:w="3200"/>
            <w:tcBorders>
              <w:top w:val="single" w:color="BDC3C7" w:sz="1"/>
              <w:left w:val="single" w:color="BDC3C7" w:sz="1"/>
              <w:bottom w:val="single" w:color="BDC3C7" w:sz="1"/>
              <w:right w:val="single" w:color="BDC3C7"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D35400"/>
                <w:sz w:val="20"/>
                <w:szCs w:val="20"/>
              </w:rPr>
              <w:t xml:space="preserve">Google Play Console and App Store Connect provide keyword data for free. AppTweak is a convenience, not a necessity.</w:t>
            </w:r>
          </w:p>
        </w:tc>
        <w:tc>
          <w:tcPr>
            <w:tcW w:type="dxa" w:w="3960"/>
            <w:tcBorders>
              <w:top w:val="single" w:color="BDC3C7" w:sz="1"/>
              <w:left w:val="single" w:color="BDC3C7" w:sz="1"/>
              <w:bottom w:val="single" w:color="BDC3C7" w:sz="1"/>
              <w:right w:val="single" w:color="BDC3C7"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222222"/>
                <w:sz w:val="20"/>
                <w:szCs w:val="20"/>
              </w:rPr>
              <w:t xml:space="preserve">AppTweak's competitor keyword intelligence and search volume estimates are not available in native consoles. The 2-month burst finds the highest-volume niches (strength percentile, gym tracker) before launch, compounding indefinitely.</w:t>
            </w:r>
          </w:p>
        </w:tc>
      </w:tr>
      <w:tr>
        <w:tc>
          <w:tcPr>
            <w:tcW w:type="dxa" w:w="2200"/>
            <w:tcBorders>
              <w:top w:val="single" w:color="BDC3C7" w:sz="1"/>
              <w:left w:val="single" w:color="BDC3C7" w:sz="1"/>
              <w:bottom w:val="single" w:color="BDC3C7" w:sz="1"/>
              <w:right w:val="single" w:color="BDC3C7" w:sz="1"/>
            </w:tcBorders>
            <w:shd w:fill="F2F3F4" w:val="clear"/>
            <w:tcMar>
              <w:top w:type="dxa" w:w="80"/>
              <w:left w:type="dxa" w:w="120"/>
              <w:bottom w:type="dxa" w:w="80"/>
              <w:right w:type="dxa" w:w="120"/>
            </w:tcMar>
            <w:vAlign w:val="center"/>
          </w:tcPr>
          <w:p>
            <w:pPr>
              <w:jc w:val="left"/>
            </w:pPr>
            <w:r>
              <w:rPr>
                <w:rFonts w:ascii="Arial" w:cs="Arial" w:eastAsia="Arial" w:hAnsi="Arial"/>
                <w:b w:val="false"/>
                <w:bCs w:val="false"/>
                <w:color w:val="222222"/>
                <w:sz w:val="20"/>
                <w:szCs w:val="20"/>
              </w:rPr>
              <w:t xml:space="preserve">$250 Apple Search Ads vs. $0 paid until Month 4</w:t>
            </w:r>
          </w:p>
        </w:tc>
        <w:tc>
          <w:tcPr>
            <w:tcW w:type="dxa" w:w="3200"/>
            <w:tcBorders>
              <w:top w:val="single" w:color="BDC3C7" w:sz="1"/>
              <w:left w:val="single" w:color="BDC3C7" w:sz="1"/>
              <w:bottom w:val="single" w:color="BDC3C7" w:sz="1"/>
              <w:right w:val="single" w:color="BDC3C7" w:sz="1"/>
            </w:tcBorders>
            <w:shd w:fill="F2F3F4" w:val="clear"/>
            <w:tcMar>
              <w:top w:type="dxa" w:w="80"/>
              <w:left w:type="dxa" w:w="120"/>
              <w:bottom w:type="dxa" w:w="80"/>
              <w:right w:type="dxa" w:w="120"/>
            </w:tcMar>
            <w:vAlign w:val="center"/>
          </w:tcPr>
          <w:p>
            <w:pPr>
              <w:jc w:val="left"/>
            </w:pPr>
            <w:r>
              <w:rPr>
                <w:rFonts w:ascii="Arial" w:cs="Arial" w:eastAsia="Arial" w:hAnsi="Arial"/>
                <w:b w:val="false"/>
                <w:bCs w:val="false"/>
                <w:color w:val="D35400"/>
                <w:sz w:val="20"/>
                <w:szCs w:val="20"/>
              </w:rPr>
              <w:t xml:space="preserve">Organic-first doctrine: spend $0 on paid until product-market fit is validated. Every paid dollar before Month 4 buys noise, not signal.</w:t>
            </w:r>
          </w:p>
        </w:tc>
        <w:tc>
          <w:tcPr>
            <w:tcW w:type="dxa" w:w="3960"/>
            <w:tcBorders>
              <w:top w:val="single" w:color="BDC3C7" w:sz="1"/>
              <w:left w:val="single" w:color="BDC3C7" w:sz="1"/>
              <w:bottom w:val="single" w:color="BDC3C7" w:sz="1"/>
              <w:right w:val="single" w:color="BDC3C7" w:sz="1"/>
            </w:tcBorders>
            <w:shd w:fill="F2F3F4" w:val="clear"/>
            <w:tcMar>
              <w:top w:type="dxa" w:w="80"/>
              <w:left w:type="dxa" w:w="120"/>
              <w:bottom w:type="dxa" w:w="80"/>
              <w:right w:type="dxa" w:w="120"/>
            </w:tcMar>
            <w:vAlign w:val="center"/>
          </w:tcPr>
          <w:p>
            <w:pPr>
              <w:jc w:val="left"/>
            </w:pPr>
            <w:r>
              <w:rPr>
                <w:rFonts w:ascii="Arial" w:cs="Arial" w:eastAsia="Arial" w:hAnsi="Arial"/>
                <w:b w:val="false"/>
                <w:bCs w:val="false"/>
                <w:color w:val="222222"/>
                <w:sz w:val="20"/>
                <w:szCs w:val="20"/>
              </w:rPr>
              <w:t xml:space="preserve">Counter steel-man from marketing skill file wins: early $50–100/week ASA tests provide conversion rate and audience data 3–4 months faster than organic-only. This $250 is information arbitrage, not acquisition spend. No paid spend = operating blind on PMF for 120+ days.</w:t>
            </w:r>
          </w:p>
        </w:tc>
      </w:tr>
      <w:tr>
        <w:tc>
          <w:tcPr>
            <w:tcW w:type="dxa" w:w="2200"/>
            <w:tcBorders>
              <w:top w:val="single" w:color="BDC3C7" w:sz="1"/>
              <w:left w:val="single" w:color="BDC3C7" w:sz="1"/>
              <w:bottom w:val="single" w:color="BDC3C7" w:sz="1"/>
              <w:right w:val="single" w:color="BDC3C7"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222222"/>
                <w:sz w:val="20"/>
                <w:szCs w:val="20"/>
              </w:rPr>
              <w:t xml:space="preserve">$0 on legal/LLC vs. early incorporation</w:t>
            </w:r>
          </w:p>
        </w:tc>
        <w:tc>
          <w:tcPr>
            <w:tcW w:type="dxa" w:w="3200"/>
            <w:tcBorders>
              <w:top w:val="single" w:color="BDC3C7" w:sz="1"/>
              <w:left w:val="single" w:color="BDC3C7" w:sz="1"/>
              <w:bottom w:val="single" w:color="BDC3C7" w:sz="1"/>
              <w:right w:val="single" w:color="BDC3C7"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D35400"/>
                <w:sz w:val="20"/>
                <w:szCs w:val="20"/>
              </w:rPr>
              <w:t xml:space="preserve">Fitness app handling health data has real liability exposure. Delaying LLC leaves the founder personally liable from day one of user data collection.</w:t>
            </w:r>
          </w:p>
        </w:tc>
        <w:tc>
          <w:tcPr>
            <w:tcW w:type="dxa" w:w="3960"/>
            <w:tcBorders>
              <w:top w:val="single" w:color="BDC3C7" w:sz="1"/>
              <w:left w:val="single" w:color="BDC3C7" w:sz="1"/>
              <w:bottom w:val="single" w:color="BDC3C7" w:sz="1"/>
              <w:right w:val="single" w:color="BDC3C7"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222222"/>
                <w:sz w:val="20"/>
                <w:szCs w:val="20"/>
              </w:rPr>
              <w:t xml:space="preserve">All legal spend deferred until revenue exists — consistent with exec playbook. Priority is shipping, not legitimacy signals. At $0 users, legal risk is theoretical. At 1,000 users and first revenue, revisit immediately.</w:t>
            </w:r>
          </w:p>
        </w:tc>
      </w:tr>
      <w:tr>
        <w:tc>
          <w:tcPr>
            <w:tcW w:type="dxa" w:w="2200"/>
            <w:tcBorders>
              <w:top w:val="single" w:color="BDC3C7" w:sz="1"/>
              <w:left w:val="single" w:color="BDC3C7" w:sz="1"/>
              <w:bottom w:val="single" w:color="BDC3C7" w:sz="1"/>
              <w:right w:val="single" w:color="BDC3C7" w:sz="1"/>
            </w:tcBorders>
            <w:shd w:fill="F2F3F4" w:val="clear"/>
            <w:tcMar>
              <w:top w:type="dxa" w:w="80"/>
              <w:left w:type="dxa" w:w="120"/>
              <w:bottom w:type="dxa" w:w="80"/>
              <w:right w:type="dxa" w:w="120"/>
            </w:tcMar>
            <w:vAlign w:val="center"/>
          </w:tcPr>
          <w:p>
            <w:pPr>
              <w:jc w:val="left"/>
            </w:pPr>
            <w:r>
              <w:rPr>
                <w:rFonts w:ascii="Arial" w:cs="Arial" w:eastAsia="Arial" w:hAnsi="Arial"/>
                <w:b w:val="false"/>
                <w:bCs w:val="false"/>
                <w:color w:val="222222"/>
                <w:sz w:val="20"/>
                <w:szCs w:val="20"/>
              </w:rPr>
              <w:t xml:space="preserve">$0 on Meta/TikTok ads</w:t>
            </w:r>
          </w:p>
        </w:tc>
        <w:tc>
          <w:tcPr>
            <w:tcW w:type="dxa" w:w="3200"/>
            <w:tcBorders>
              <w:top w:val="single" w:color="BDC3C7" w:sz="1"/>
              <w:left w:val="single" w:color="BDC3C7" w:sz="1"/>
              <w:bottom w:val="single" w:color="BDC3C7" w:sz="1"/>
              <w:right w:val="single" w:color="BDC3C7" w:sz="1"/>
            </w:tcBorders>
            <w:shd w:fill="F2F3F4" w:val="clear"/>
            <w:tcMar>
              <w:top w:type="dxa" w:w="80"/>
              <w:left w:type="dxa" w:w="120"/>
              <w:bottom w:type="dxa" w:w="80"/>
              <w:right w:type="dxa" w:w="120"/>
            </w:tcMar>
            <w:vAlign w:val="center"/>
          </w:tcPr>
          <w:p>
            <w:pPr>
              <w:jc w:val="left"/>
            </w:pPr>
            <w:r>
              <w:rPr>
                <w:rFonts w:ascii="Arial" w:cs="Arial" w:eastAsia="Arial" w:hAnsi="Arial"/>
                <w:b w:val="false"/>
                <w:bCs w:val="false"/>
                <w:color w:val="D35400"/>
                <w:sz w:val="20"/>
                <w:szCs w:val="20"/>
              </w:rPr>
              <w:t xml:space="preserve">TikTok fitness content is category-dominant. Running even a $50 test alongside ASA maximizes channel data.</w:t>
            </w:r>
          </w:p>
        </w:tc>
        <w:tc>
          <w:tcPr>
            <w:tcW w:type="dxa" w:w="3960"/>
            <w:tcBorders>
              <w:top w:val="single" w:color="BDC3C7" w:sz="1"/>
              <w:left w:val="single" w:color="BDC3C7" w:sz="1"/>
              <w:bottom w:val="single" w:color="BDC3C7" w:sz="1"/>
              <w:right w:val="single" w:color="BDC3C7" w:sz="1"/>
            </w:tcBorders>
            <w:shd w:fill="F2F3F4" w:val="clear"/>
            <w:tcMar>
              <w:top w:type="dxa" w:w="80"/>
              <w:left w:type="dxa" w:w="120"/>
              <w:bottom w:type="dxa" w:w="80"/>
              <w:right w:type="dxa" w:w="120"/>
            </w:tcMar>
            <w:vAlign w:val="center"/>
          </w:tcPr>
          <w:p>
            <w:pPr>
              <w:jc w:val="left"/>
            </w:pPr>
            <w:r>
              <w:rPr>
                <w:rFonts w:ascii="Arial" w:cs="Arial" w:eastAsia="Arial" w:hAnsi="Arial"/>
                <w:b w:val="false"/>
                <w:bCs w:val="false"/>
                <w:color w:val="222222"/>
                <w:sz w:val="20"/>
                <w:szCs w:val="20"/>
              </w:rPr>
              <w:t xml:space="preserve">No proven organic hook yet. Hormozi's rule: only run paid on content that has already proven its hook organically. Meta/TikTok CPI in fitness ($5–20) is 5–10x Apple Search Ads for intent-matched traffic. Budget constraint makes the choice clear.</w:t>
            </w:r>
          </w:p>
        </w:tc>
      </w:tr>
    </w:tbl>
    <w:p>
      <w:pPr>
        <w:spacing w:after="0" w:before="160"/>
      </w:pPr>
    </w:p>
    <w:p>
      <w:r>
        <w:br w:type="page"/>
      </w:r>
    </w:p>
    <w:p>
      <w:pPr>
        <w:pStyle w:val="Heading1"/>
      </w:pPr>
      <w:r>
        <w:rPr>
          <w:rFonts w:ascii="Arial" w:cs="Arial" w:eastAsia="Arial" w:hAnsi="Arial"/>
          <w:b/>
          <w:bCs/>
          <w:color w:val="1B4F72"/>
          <w:sz w:val="32"/>
          <w:szCs w:val="32"/>
        </w:rPr>
        <w:t xml:space="preserve">6. Growth Triggers — When This Budget Changes</w:t>
      </w:r>
    </w:p>
    <w:p>
      <w:pPr>
        <w:spacing w:after="80" w:before="80"/>
        <w:jc w:val="left"/>
      </w:pPr>
      <w:r>
        <w:rPr>
          <w:rFonts w:ascii="Arial" w:cs="Arial" w:eastAsia="Arial" w:hAnsi="Arial"/>
          <w:b w:val="false"/>
          <w:bCs w:val="false"/>
          <w:i w:val="false"/>
          <w:iCs w:val="false"/>
          <w:color w:val="222222"/>
          <w:sz w:val="22"/>
          <w:szCs w:val="22"/>
        </w:rPr>
        <w:t xml:space="preserve">The $800 budget is explicitly contingent on the client base remaining at early-traction scale. The following table defines the exact conditions under which the budget should be revisited, what the financial impact looks like, and what the recommended response is. This is not a calendar-based review — it is threshold-based, because thresholds are what actually change the math.</w:t>
      </w:r>
    </w:p>
    <w:p>
      <w:pPr>
        <w:spacing w:after="0" w:before="12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2000"/>
        <w:gridCol w:w="4960"/>
      </w:tblGrid>
      <w:tr>
        <w:tc>
          <w:tcPr>
            <w:tcW w:type="dxa" w:w="2400"/>
            <w:tcBorders>
              <w:top w:val="single" w:color="FFFFFF" w:sz="1"/>
              <w:left w:val="single" w:color="FFFFFF" w:sz="1"/>
              <w:bottom w:val="single" w:color="FFFFFF" w:sz="1"/>
              <w:right w:val="single" w:color="FFFFFF" w:sz="1"/>
            </w:tcBorders>
            <w:shd w:fill="2E86C1" w:val="clear"/>
            <w:tcMar>
              <w:top w:type="dxa" w:w="80"/>
              <w:left w:type="dxa" w:w="120"/>
              <w:bottom w:type="dxa" w:w="80"/>
              <w:right w:type="dxa" w:w="120"/>
            </w:tcMar>
            <w:vAlign w:val="center"/>
          </w:tcPr>
          <w:p>
            <w:pPr>
              <w:jc w:val="left"/>
            </w:pPr>
            <w:r>
              <w:rPr>
                <w:rFonts w:ascii="Arial" w:cs="Arial" w:eastAsia="Arial" w:hAnsi="Arial"/>
                <w:b/>
                <w:bCs/>
                <w:color w:val="FFFFFF"/>
                <w:sz w:val="20"/>
                <w:szCs w:val="20"/>
              </w:rPr>
              <w:t xml:space="preserve">Trigger</w:t>
            </w:r>
          </w:p>
        </w:tc>
        <w:tc>
          <w:tcPr>
            <w:tcW w:type="dxa" w:w="2000"/>
            <w:tcBorders>
              <w:top w:val="single" w:color="FFFFFF" w:sz="1"/>
              <w:left w:val="single" w:color="FFFFFF" w:sz="1"/>
              <w:bottom w:val="single" w:color="FFFFFF" w:sz="1"/>
              <w:right w:val="single" w:color="FFFFFF" w:sz="1"/>
            </w:tcBorders>
            <w:shd w:fill="2E86C1"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Budget Impact</w:t>
            </w:r>
          </w:p>
        </w:tc>
        <w:tc>
          <w:tcPr>
            <w:tcW w:type="dxa" w:w="4960"/>
            <w:tcBorders>
              <w:top w:val="single" w:color="FFFFFF" w:sz="1"/>
              <w:left w:val="single" w:color="FFFFFF" w:sz="1"/>
              <w:bottom w:val="single" w:color="FFFFFF" w:sz="1"/>
              <w:right w:val="single" w:color="FFFFFF" w:sz="1"/>
            </w:tcBorders>
            <w:shd w:fill="2E86C1" w:val="clear"/>
            <w:tcMar>
              <w:top w:type="dxa" w:w="80"/>
              <w:left w:type="dxa" w:w="120"/>
              <w:bottom w:type="dxa" w:w="80"/>
              <w:right w:type="dxa" w:w="120"/>
            </w:tcMar>
            <w:vAlign w:val="center"/>
          </w:tcPr>
          <w:p>
            <w:pPr>
              <w:jc w:val="left"/>
            </w:pPr>
            <w:r>
              <w:rPr>
                <w:rFonts w:ascii="Arial" w:cs="Arial" w:eastAsia="Arial" w:hAnsi="Arial"/>
                <w:b/>
                <w:bCs/>
                <w:color w:val="FFFFFF"/>
                <w:sz w:val="20"/>
                <w:szCs w:val="20"/>
              </w:rPr>
              <w:t xml:space="preserve">Recommended Action</w:t>
            </w:r>
          </w:p>
        </w:tc>
      </w:tr>
      <w:tr>
        <w:tc>
          <w:tcPr>
            <w:tcW w:type="dxa" w:w="2400"/>
            <w:tcBorders>
              <w:top w:val="single" w:color="BDC3C7" w:sz="1"/>
              <w:left w:val="single" w:color="BDC3C7" w:sz="1"/>
              <w:bottom w:val="single" w:color="BDC3C7" w:sz="1"/>
              <w:right w:val="single" w:color="BDC3C7"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222222"/>
                <w:sz w:val="20"/>
                <w:szCs w:val="20"/>
              </w:rPr>
              <w:t xml:space="preserve">1,000 MAU</w:t>
            </w:r>
          </w:p>
        </w:tc>
        <w:tc>
          <w:tcPr>
            <w:tcW w:type="dxa" w:w="2000"/>
            <w:tcBorders>
              <w:top w:val="single" w:color="BDC3C7" w:sz="1"/>
              <w:left w:val="single" w:color="BDC3C7" w:sz="1"/>
              <w:bottom w:val="single" w:color="BDC3C7" w:sz="1"/>
              <w:right w:val="single" w:color="BDC3C7" w:sz="1"/>
            </w:tcBorders>
            <w:shd w:fill="FFFFFF" w:val="clear"/>
            <w:tcMar>
              <w:top w:type="dxa" w:w="80"/>
              <w:left w:type="dxa" w:w="120"/>
              <w:bottom w:type="dxa" w:w="80"/>
              <w:right w:type="dxa" w:w="120"/>
            </w:tcMar>
            <w:vAlign w:val="center"/>
          </w:tcPr>
          <w:p>
            <w:pPr>
              <w:jc w:val="center"/>
            </w:pPr>
            <w:r>
              <w:rPr>
                <w:rFonts w:ascii="Arial" w:cs="Arial" w:eastAsia="Arial" w:hAnsi="Arial"/>
                <w:b/>
                <w:bCs/>
                <w:color w:val="222222"/>
                <w:sz w:val="20"/>
                <w:szCs w:val="20"/>
              </w:rPr>
              <w:t xml:space="preserve">+$60–85/mo</w:t>
            </w:r>
          </w:p>
        </w:tc>
        <w:tc>
          <w:tcPr>
            <w:tcW w:type="dxa" w:w="4960"/>
            <w:tcBorders>
              <w:top w:val="single" w:color="BDC3C7" w:sz="1"/>
              <w:left w:val="single" w:color="BDC3C7" w:sz="1"/>
              <w:bottom w:val="single" w:color="BDC3C7" w:sz="1"/>
              <w:right w:val="single" w:color="BDC3C7"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222222"/>
                <w:sz w:val="20"/>
                <w:szCs w:val="20"/>
              </w:rPr>
              <w:t xml:space="preserve">Activate Supabase Pro ($25) + PowerSync starter ($35). Draw from buffer first.</w:t>
            </w:r>
          </w:p>
        </w:tc>
      </w:tr>
      <w:tr>
        <w:tc>
          <w:tcPr>
            <w:tcW w:type="dxa" w:w="2400"/>
            <w:tcBorders>
              <w:top w:val="single" w:color="BDC3C7" w:sz="1"/>
              <w:left w:val="single" w:color="BDC3C7" w:sz="1"/>
              <w:bottom w:val="single" w:color="BDC3C7" w:sz="1"/>
              <w:right w:val="single" w:color="BDC3C7" w:sz="1"/>
            </w:tcBorders>
            <w:shd w:fill="F2F3F4" w:val="clear"/>
            <w:tcMar>
              <w:top w:type="dxa" w:w="80"/>
              <w:left w:type="dxa" w:w="120"/>
              <w:bottom w:type="dxa" w:w="80"/>
              <w:right w:type="dxa" w:w="120"/>
            </w:tcMar>
            <w:vAlign w:val="center"/>
          </w:tcPr>
          <w:p>
            <w:pPr>
              <w:jc w:val="left"/>
            </w:pPr>
            <w:r>
              <w:rPr>
                <w:rFonts w:ascii="Arial" w:cs="Arial" w:eastAsia="Arial" w:hAnsi="Arial"/>
                <w:b w:val="false"/>
                <w:bCs w:val="false"/>
                <w:color w:val="222222"/>
                <w:sz w:val="20"/>
                <w:szCs w:val="20"/>
              </w:rPr>
              <w:t xml:space="preserve">5,000 MAU / 100 paid users</w:t>
            </w:r>
          </w:p>
        </w:tc>
        <w:tc>
          <w:tcPr>
            <w:tcW w:type="dxa" w:w="2000"/>
            <w:tcBorders>
              <w:top w:val="single" w:color="BDC3C7" w:sz="1"/>
              <w:left w:val="single" w:color="BDC3C7" w:sz="1"/>
              <w:bottom w:val="single" w:color="BDC3C7" w:sz="1"/>
              <w:right w:val="single" w:color="BDC3C7" w:sz="1"/>
            </w:tcBorders>
            <w:shd w:fill="F2F3F4" w:val="clear"/>
            <w:tcMar>
              <w:top w:type="dxa" w:w="80"/>
              <w:left w:type="dxa" w:w="120"/>
              <w:bottom w:type="dxa" w:w="80"/>
              <w:right w:type="dxa" w:w="120"/>
            </w:tcMar>
            <w:vAlign w:val="center"/>
          </w:tcPr>
          <w:p>
            <w:pPr>
              <w:jc w:val="center"/>
            </w:pPr>
            <w:r>
              <w:rPr>
                <w:rFonts w:ascii="Arial" w:cs="Arial" w:eastAsia="Arial" w:hAnsi="Arial"/>
                <w:b/>
                <w:bCs/>
                <w:color w:val="222222"/>
                <w:sz w:val="20"/>
                <w:szCs w:val="20"/>
              </w:rPr>
              <w:t xml:space="preserve">+$150–250/mo</w:t>
            </w:r>
          </w:p>
        </w:tc>
        <w:tc>
          <w:tcPr>
            <w:tcW w:type="dxa" w:w="4960"/>
            <w:tcBorders>
              <w:top w:val="single" w:color="BDC3C7" w:sz="1"/>
              <w:left w:val="single" w:color="BDC3C7" w:sz="1"/>
              <w:bottom w:val="single" w:color="BDC3C7" w:sz="1"/>
              <w:right w:val="single" w:color="BDC3C7" w:sz="1"/>
            </w:tcBorders>
            <w:shd w:fill="F2F3F4" w:val="clear"/>
            <w:tcMar>
              <w:top w:type="dxa" w:w="80"/>
              <w:left w:type="dxa" w:w="120"/>
              <w:bottom w:type="dxa" w:w="80"/>
              <w:right w:type="dxa" w:w="120"/>
            </w:tcMar>
            <w:vAlign w:val="center"/>
          </w:tcPr>
          <w:p>
            <w:pPr>
              <w:jc w:val="left"/>
            </w:pPr>
            <w:r>
              <w:rPr>
                <w:rFonts w:ascii="Arial" w:cs="Arial" w:eastAsia="Arial" w:hAnsi="Arial"/>
                <w:b w:val="false"/>
                <w:bCs w:val="false"/>
                <w:color w:val="222222"/>
                <w:sz w:val="20"/>
                <w:szCs w:val="20"/>
              </w:rPr>
              <w:t xml:space="preserve">Supabase Pro + PowerSync growth tier. LLM cost becomes visible (~$25/yr). Scale ASA if CAC &lt; $25.</w:t>
            </w:r>
          </w:p>
        </w:tc>
      </w:tr>
      <w:tr>
        <w:tc>
          <w:tcPr>
            <w:tcW w:type="dxa" w:w="2400"/>
            <w:tcBorders>
              <w:top w:val="single" w:color="BDC3C7" w:sz="1"/>
              <w:left w:val="single" w:color="BDC3C7" w:sz="1"/>
              <w:bottom w:val="single" w:color="BDC3C7" w:sz="1"/>
              <w:right w:val="single" w:color="BDC3C7"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222222"/>
                <w:sz w:val="20"/>
                <w:szCs w:val="20"/>
              </w:rPr>
              <w:t xml:space="preserve">Day-30 retention &gt; 30% on paid tier</w:t>
            </w:r>
          </w:p>
        </w:tc>
        <w:tc>
          <w:tcPr>
            <w:tcW w:type="dxa" w:w="2000"/>
            <w:tcBorders>
              <w:top w:val="single" w:color="BDC3C7" w:sz="1"/>
              <w:left w:val="single" w:color="BDC3C7" w:sz="1"/>
              <w:bottom w:val="single" w:color="BDC3C7" w:sz="1"/>
              <w:right w:val="single" w:color="BDC3C7" w:sz="1"/>
            </w:tcBorders>
            <w:shd w:fill="FFFFFF" w:val="clear"/>
            <w:tcMar>
              <w:top w:type="dxa" w:w="80"/>
              <w:left w:type="dxa" w:w="120"/>
              <w:bottom w:type="dxa" w:w="80"/>
              <w:right w:type="dxa" w:w="120"/>
            </w:tcMar>
            <w:vAlign w:val="center"/>
          </w:tcPr>
          <w:p>
            <w:pPr>
              <w:jc w:val="center"/>
            </w:pPr>
            <w:r>
              <w:rPr>
                <w:rFonts w:ascii="Arial" w:cs="Arial" w:eastAsia="Arial" w:hAnsi="Arial"/>
                <w:b/>
                <w:bCs/>
                <w:color w:val="1E8449"/>
                <w:sz w:val="20"/>
                <w:szCs w:val="20"/>
              </w:rPr>
              <w:t xml:space="preserve">Marketing ++</w:t>
            </w:r>
          </w:p>
        </w:tc>
        <w:tc>
          <w:tcPr>
            <w:tcW w:type="dxa" w:w="4960"/>
            <w:tcBorders>
              <w:top w:val="single" w:color="BDC3C7" w:sz="1"/>
              <w:left w:val="single" w:color="BDC3C7" w:sz="1"/>
              <w:bottom w:val="single" w:color="BDC3C7" w:sz="1"/>
              <w:right w:val="single" w:color="BDC3C7"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222222"/>
                <w:sz w:val="20"/>
                <w:szCs w:val="20"/>
              </w:rPr>
              <w:t xml:space="preserve">Shift from test budget to growth budget. Add Meta/TikTok paid. Scale ASA to $500–1,000/month.</w:t>
            </w:r>
          </w:p>
        </w:tc>
      </w:tr>
      <w:tr>
        <w:tc>
          <w:tcPr>
            <w:tcW w:type="dxa" w:w="2400"/>
            <w:tcBorders>
              <w:top w:val="single" w:color="BDC3C7" w:sz="1"/>
              <w:left w:val="single" w:color="BDC3C7" w:sz="1"/>
              <w:bottom w:val="single" w:color="BDC3C7" w:sz="1"/>
              <w:right w:val="single" w:color="BDC3C7" w:sz="1"/>
            </w:tcBorders>
            <w:shd w:fill="F2F3F4" w:val="clear"/>
            <w:tcMar>
              <w:top w:type="dxa" w:w="80"/>
              <w:left w:type="dxa" w:w="120"/>
              <w:bottom w:type="dxa" w:w="80"/>
              <w:right w:type="dxa" w:w="120"/>
            </w:tcMar>
            <w:vAlign w:val="center"/>
          </w:tcPr>
          <w:p>
            <w:pPr>
              <w:jc w:val="left"/>
            </w:pPr>
            <w:r>
              <w:rPr>
                <w:rFonts w:ascii="Arial" w:cs="Arial" w:eastAsia="Arial" w:hAnsi="Arial"/>
                <w:b w:val="false"/>
                <w:bCs w:val="false"/>
                <w:color w:val="222222"/>
                <w:sz w:val="20"/>
                <w:szCs w:val="20"/>
              </w:rPr>
              <w:t xml:space="preserve">ASA CAC &gt; $33 (above 3:1 LTV:CAC)</w:t>
            </w:r>
          </w:p>
        </w:tc>
        <w:tc>
          <w:tcPr>
            <w:tcW w:type="dxa" w:w="2000"/>
            <w:tcBorders>
              <w:top w:val="single" w:color="BDC3C7" w:sz="1"/>
              <w:left w:val="single" w:color="BDC3C7" w:sz="1"/>
              <w:bottom w:val="single" w:color="BDC3C7" w:sz="1"/>
              <w:right w:val="single" w:color="BDC3C7" w:sz="1"/>
            </w:tcBorders>
            <w:shd w:fill="F2F3F4" w:val="clear"/>
            <w:tcMar>
              <w:top w:type="dxa" w:w="80"/>
              <w:left w:type="dxa" w:w="120"/>
              <w:bottom w:type="dxa" w:w="80"/>
              <w:right w:type="dxa" w:w="120"/>
            </w:tcMar>
            <w:vAlign w:val="center"/>
          </w:tcPr>
          <w:p>
            <w:pPr>
              <w:jc w:val="center"/>
            </w:pPr>
            <w:r>
              <w:rPr>
                <w:rFonts w:ascii="Arial" w:cs="Arial" w:eastAsia="Arial" w:hAnsi="Arial"/>
                <w:b/>
                <w:bCs/>
                <w:color w:val="D35400"/>
                <w:sz w:val="20"/>
                <w:szCs w:val="20"/>
              </w:rPr>
              <w:t xml:space="preserve">Marketing pivot</w:t>
            </w:r>
          </w:p>
        </w:tc>
        <w:tc>
          <w:tcPr>
            <w:tcW w:type="dxa" w:w="4960"/>
            <w:tcBorders>
              <w:top w:val="single" w:color="BDC3C7" w:sz="1"/>
              <w:left w:val="single" w:color="BDC3C7" w:sz="1"/>
              <w:bottom w:val="single" w:color="BDC3C7" w:sz="1"/>
              <w:right w:val="single" w:color="BDC3C7" w:sz="1"/>
            </w:tcBorders>
            <w:shd w:fill="F2F3F4" w:val="clear"/>
            <w:tcMar>
              <w:top w:type="dxa" w:w="80"/>
              <w:left w:type="dxa" w:w="120"/>
              <w:bottom w:type="dxa" w:w="80"/>
              <w:right w:type="dxa" w:w="120"/>
            </w:tcMar>
            <w:vAlign w:val="center"/>
          </w:tcPr>
          <w:p>
            <w:pPr>
              <w:jc w:val="left"/>
            </w:pPr>
            <w:r>
              <w:rPr>
                <w:rFonts w:ascii="Arial" w:cs="Arial" w:eastAsia="Arial" w:hAnsi="Arial"/>
                <w:b w:val="false"/>
                <w:bCs w:val="false"/>
                <w:color w:val="222222"/>
                <w:sz w:val="20"/>
                <w:szCs w:val="20"/>
              </w:rPr>
              <w:t xml:space="preserve">Cut paid spend. Redirect to micro-influencer deals ($100–300/post). Re-evaluate creative.</w:t>
            </w:r>
          </w:p>
        </w:tc>
      </w:tr>
      <w:tr>
        <w:tc>
          <w:tcPr>
            <w:tcW w:type="dxa" w:w="2400"/>
            <w:tcBorders>
              <w:top w:val="single" w:color="BDC3C7" w:sz="1"/>
              <w:left w:val="single" w:color="BDC3C7" w:sz="1"/>
              <w:bottom w:val="single" w:color="BDC3C7" w:sz="1"/>
              <w:right w:val="single" w:color="BDC3C7"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222222"/>
                <w:sz w:val="20"/>
                <w:szCs w:val="20"/>
              </w:rPr>
              <w:t xml:space="preserve">10,000+ MAU / capital raised</w:t>
            </w:r>
          </w:p>
        </w:tc>
        <w:tc>
          <w:tcPr>
            <w:tcW w:type="dxa" w:w="2000"/>
            <w:tcBorders>
              <w:top w:val="single" w:color="BDC3C7" w:sz="1"/>
              <w:left w:val="single" w:color="BDC3C7" w:sz="1"/>
              <w:bottom w:val="single" w:color="BDC3C7" w:sz="1"/>
              <w:right w:val="single" w:color="BDC3C7" w:sz="1"/>
            </w:tcBorders>
            <w:shd w:fill="FFFFFF" w:val="clear"/>
            <w:tcMar>
              <w:top w:type="dxa" w:w="80"/>
              <w:left w:type="dxa" w:w="120"/>
              <w:bottom w:type="dxa" w:w="80"/>
              <w:right w:type="dxa" w:w="120"/>
            </w:tcMar>
            <w:vAlign w:val="center"/>
          </w:tcPr>
          <w:p>
            <w:pPr>
              <w:jc w:val="center"/>
            </w:pPr>
            <w:r>
              <w:rPr>
                <w:rFonts w:ascii="Arial" w:cs="Arial" w:eastAsia="Arial" w:hAnsi="Arial"/>
                <w:b/>
                <w:bCs/>
                <w:color w:val="1B4F72"/>
                <w:sz w:val="20"/>
                <w:szCs w:val="20"/>
              </w:rPr>
              <w:t xml:space="preserve">Full rebudget</w:t>
            </w:r>
          </w:p>
        </w:tc>
        <w:tc>
          <w:tcPr>
            <w:tcW w:type="dxa" w:w="4960"/>
            <w:tcBorders>
              <w:top w:val="single" w:color="BDC3C7" w:sz="1"/>
              <w:left w:val="single" w:color="BDC3C7" w:sz="1"/>
              <w:bottom w:val="single" w:color="BDC3C7" w:sz="1"/>
              <w:right w:val="single" w:color="BDC3C7"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222222"/>
                <w:sz w:val="20"/>
                <w:szCs w:val="20"/>
              </w:rPr>
              <w:t xml:space="preserve">Retire this budget entirely. Recommended budget tier is $2,888–$10,203+ depending on growth confidence.</w:t>
            </w:r>
          </w:p>
        </w:tc>
      </w:tr>
    </w:tbl>
    <w:p>
      <w:pPr>
        <w:spacing w:after="0" w:before="120"/>
      </w:pPr>
    </w:p>
    <w:p>
      <w:pPr>
        <w:spacing w:after="80" w:before="80"/>
        <w:jc w:val="left"/>
      </w:pPr>
      <w:r>
        <w:rPr>
          <w:rFonts w:ascii="Arial" w:cs="Arial" w:eastAsia="Arial" w:hAnsi="Arial"/>
          <w:b w:val="false"/>
          <w:bCs w:val="false"/>
          <w:i/>
          <w:iCs/>
          <w:color w:val="444444"/>
          <w:sz w:val="22"/>
          <w:szCs w:val="22"/>
        </w:rPr>
        <w:t xml:space="preserve">The single most important trigger is Day-30 retention on the paid tier crossing 30%. Below that threshold, every marketing dollar is buying information. Above it, marketing dollars buy customers. The budget restructuring at that crossing point is categorical — not incremental.</w:t>
      </w:r>
    </w:p>
    <w:p>
      <w:pPr>
        <w:spacing w:after="0" w:before="160"/>
      </w:pPr>
    </w:p>
    <w:p>
      <w:pPr>
        <w:pStyle w:val="Heading1"/>
      </w:pPr>
      <w:r>
        <w:rPr>
          <w:rFonts w:ascii="Arial" w:cs="Arial" w:eastAsia="Arial" w:hAnsi="Arial"/>
          <w:b/>
          <w:bCs/>
          <w:color w:val="1B4F72"/>
          <w:sz w:val="32"/>
          <w:szCs w:val="32"/>
        </w:rPr>
        <w:t xml:space="preserve">7. What Stays Free — The Zero-Cost Stack</w:t>
      </w:r>
    </w:p>
    <w:p>
      <w:pPr>
        <w:spacing w:after="80" w:before="80"/>
        <w:jc w:val="left"/>
      </w:pPr>
      <w:r>
        <w:rPr>
          <w:rFonts w:ascii="Arial" w:cs="Arial" w:eastAsia="Arial" w:hAnsi="Arial"/>
          <w:b w:val="false"/>
          <w:bCs w:val="false"/>
          <w:i w:val="false"/>
          <w:iCs w:val="false"/>
          <w:color w:val="222222"/>
          <w:sz w:val="22"/>
          <w:szCs w:val="22"/>
        </w:rPr>
        <w:t xml:space="preserve">The following services are confirmed free at launch and through the first 1,000 MAU. No action is required until the triggers in Section 6 are hit.</w:t>
      </w:r>
    </w:p>
    <w:p>
      <w:pPr>
        <w:spacing w:after="0" w:before="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2000"/>
        <w:gridCol w:w="1400"/>
        <w:gridCol w:w="3160"/>
      </w:tblGrid>
      <w:tr>
        <w:tc>
          <w:tcPr>
            <w:tcW w:type="dxa" w:w="2800"/>
            <w:tcBorders>
              <w:top w:val="single" w:color="FFFFFF" w:sz="1"/>
              <w:left w:val="single" w:color="FFFFFF" w:sz="1"/>
              <w:bottom w:val="single" w:color="FFFFFF" w:sz="1"/>
              <w:right w:val="single" w:color="FFFFFF" w:sz="1"/>
            </w:tcBorders>
            <w:shd w:fill="2E86C1" w:val="clear"/>
            <w:tcMar>
              <w:top w:type="dxa" w:w="80"/>
              <w:left w:type="dxa" w:w="120"/>
              <w:bottom w:type="dxa" w:w="80"/>
              <w:right w:type="dxa" w:w="120"/>
            </w:tcMar>
            <w:vAlign w:val="center"/>
          </w:tcPr>
          <w:p>
            <w:pPr>
              <w:jc w:val="left"/>
            </w:pPr>
            <w:r>
              <w:rPr>
                <w:rFonts w:ascii="Arial" w:cs="Arial" w:eastAsia="Arial" w:hAnsi="Arial"/>
                <w:b/>
                <w:bCs/>
                <w:color w:val="FFFFFF"/>
                <w:sz w:val="20"/>
                <w:szCs w:val="20"/>
              </w:rPr>
              <w:t xml:space="preserve">Service</w:t>
            </w:r>
          </w:p>
        </w:tc>
        <w:tc>
          <w:tcPr>
            <w:tcW w:type="dxa" w:w="2000"/>
            <w:tcBorders>
              <w:top w:val="single" w:color="FFFFFF" w:sz="1"/>
              <w:left w:val="single" w:color="FFFFFF" w:sz="1"/>
              <w:bottom w:val="single" w:color="FFFFFF" w:sz="1"/>
              <w:right w:val="single" w:color="FFFFFF" w:sz="1"/>
            </w:tcBorders>
            <w:shd w:fill="2E86C1" w:val="clear"/>
            <w:tcMar>
              <w:top w:type="dxa" w:w="80"/>
              <w:left w:type="dxa" w:w="120"/>
              <w:bottom w:type="dxa" w:w="80"/>
              <w:right w:type="dxa" w:w="120"/>
            </w:tcMar>
            <w:vAlign w:val="center"/>
          </w:tcPr>
          <w:p>
            <w:pPr>
              <w:jc w:val="left"/>
            </w:pPr>
            <w:r>
              <w:rPr>
                <w:rFonts w:ascii="Arial" w:cs="Arial" w:eastAsia="Arial" w:hAnsi="Arial"/>
                <w:b/>
                <w:bCs/>
                <w:color w:val="FFFFFF"/>
                <w:sz w:val="20"/>
                <w:szCs w:val="20"/>
              </w:rPr>
              <w:t xml:space="preserve">Purpose</w:t>
            </w:r>
          </w:p>
        </w:tc>
        <w:tc>
          <w:tcPr>
            <w:tcW w:type="dxa" w:w="1400"/>
            <w:tcBorders>
              <w:top w:val="single" w:color="FFFFFF" w:sz="1"/>
              <w:left w:val="single" w:color="FFFFFF" w:sz="1"/>
              <w:bottom w:val="single" w:color="FFFFFF" w:sz="1"/>
              <w:right w:val="single" w:color="FFFFFF" w:sz="1"/>
            </w:tcBorders>
            <w:shd w:fill="2E86C1"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Free Until</w:t>
            </w:r>
          </w:p>
        </w:tc>
        <w:tc>
          <w:tcPr>
            <w:tcW w:type="dxa" w:w="3160"/>
            <w:tcBorders>
              <w:top w:val="single" w:color="FFFFFF" w:sz="1"/>
              <w:left w:val="single" w:color="FFFFFF" w:sz="1"/>
              <w:bottom w:val="single" w:color="FFFFFF" w:sz="1"/>
              <w:right w:val="single" w:color="FFFFFF" w:sz="1"/>
            </w:tcBorders>
            <w:shd w:fill="2E86C1" w:val="clear"/>
            <w:tcMar>
              <w:top w:type="dxa" w:w="80"/>
              <w:left w:type="dxa" w:w="120"/>
              <w:bottom w:type="dxa" w:w="80"/>
              <w:right w:type="dxa" w:w="120"/>
            </w:tcMar>
            <w:vAlign w:val="center"/>
          </w:tcPr>
          <w:p>
            <w:pPr>
              <w:jc w:val="left"/>
            </w:pPr>
            <w:r>
              <w:rPr>
                <w:rFonts w:ascii="Arial" w:cs="Arial" w:eastAsia="Arial" w:hAnsi="Arial"/>
                <w:b/>
                <w:bCs/>
                <w:color w:val="FFFFFF"/>
                <w:sz w:val="20"/>
                <w:szCs w:val="20"/>
              </w:rPr>
              <w:t xml:space="preserve">Paid Entry Point</w:t>
            </w:r>
          </w:p>
        </w:tc>
      </w:tr>
      <w:tr>
        <w:tc>
          <w:tcPr>
            <w:tcW w:type="dxa" w:w="2800"/>
            <w:tcBorders>
              <w:top w:val="single" w:color="BDC3C7" w:sz="1"/>
              <w:left w:val="single" w:color="BDC3C7" w:sz="1"/>
              <w:bottom w:val="single" w:color="BDC3C7" w:sz="1"/>
              <w:right w:val="single" w:color="BDC3C7"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222222"/>
                <w:sz w:val="20"/>
                <w:szCs w:val="20"/>
              </w:rPr>
              <w:t xml:space="preserve">Supabase</w:t>
            </w:r>
          </w:p>
        </w:tc>
        <w:tc>
          <w:tcPr>
            <w:tcW w:type="dxa" w:w="2000"/>
            <w:tcBorders>
              <w:top w:val="single" w:color="BDC3C7" w:sz="1"/>
              <w:left w:val="single" w:color="BDC3C7" w:sz="1"/>
              <w:bottom w:val="single" w:color="BDC3C7" w:sz="1"/>
              <w:right w:val="single" w:color="BDC3C7"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222222"/>
                <w:sz w:val="20"/>
                <w:szCs w:val="20"/>
              </w:rPr>
              <w:t xml:space="preserve">Database + Auth + Storage</w:t>
            </w:r>
          </w:p>
        </w:tc>
        <w:tc>
          <w:tcPr>
            <w:tcW w:type="dxa" w:w="1400"/>
            <w:tcBorders>
              <w:top w:val="single" w:color="BDC3C7" w:sz="1"/>
              <w:left w:val="single" w:color="BDC3C7" w:sz="1"/>
              <w:bottom w:val="single" w:color="BDC3C7" w:sz="1"/>
              <w:right w:val="single" w:color="BDC3C7" w:sz="1"/>
            </w:tcBorders>
            <w:shd w:fill="FFFFFF" w:val="clear"/>
            <w:tcMar>
              <w:top w:type="dxa" w:w="80"/>
              <w:left w:type="dxa" w:w="120"/>
              <w:bottom w:type="dxa" w:w="80"/>
              <w:right w:type="dxa" w:w="120"/>
            </w:tcMar>
            <w:vAlign w:val="center"/>
          </w:tcPr>
          <w:p>
            <w:pPr>
              <w:jc w:val="center"/>
            </w:pPr>
            <w:r>
              <w:rPr>
                <w:rFonts w:ascii="Arial" w:cs="Arial" w:eastAsia="Arial" w:hAnsi="Arial"/>
                <w:b w:val="false"/>
                <w:bCs w:val="false"/>
                <w:color w:val="222222"/>
                <w:sz w:val="20"/>
                <w:szCs w:val="20"/>
              </w:rPr>
              <w:t xml:space="preserve">50K MAU</w:t>
            </w:r>
          </w:p>
        </w:tc>
        <w:tc>
          <w:tcPr>
            <w:tcW w:type="dxa" w:w="3160"/>
            <w:tcBorders>
              <w:top w:val="single" w:color="BDC3C7" w:sz="1"/>
              <w:left w:val="single" w:color="BDC3C7" w:sz="1"/>
              <w:bottom w:val="single" w:color="BDC3C7" w:sz="1"/>
              <w:right w:val="single" w:color="BDC3C7"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222222"/>
                <w:sz w:val="20"/>
                <w:szCs w:val="20"/>
              </w:rPr>
              <w:t xml:space="preserve">$25/month (Pro)</w:t>
            </w:r>
          </w:p>
        </w:tc>
      </w:tr>
      <w:tr>
        <w:tc>
          <w:tcPr>
            <w:tcW w:type="dxa" w:w="2800"/>
            <w:tcBorders>
              <w:top w:val="single" w:color="BDC3C7" w:sz="1"/>
              <w:left w:val="single" w:color="BDC3C7" w:sz="1"/>
              <w:bottom w:val="single" w:color="BDC3C7" w:sz="1"/>
              <w:right w:val="single" w:color="BDC3C7" w:sz="1"/>
            </w:tcBorders>
            <w:shd w:fill="F2F3F4" w:val="clear"/>
            <w:tcMar>
              <w:top w:type="dxa" w:w="80"/>
              <w:left w:type="dxa" w:w="120"/>
              <w:bottom w:type="dxa" w:w="80"/>
              <w:right w:type="dxa" w:w="120"/>
            </w:tcMar>
            <w:vAlign w:val="center"/>
          </w:tcPr>
          <w:p>
            <w:pPr>
              <w:jc w:val="left"/>
            </w:pPr>
            <w:r>
              <w:rPr>
                <w:rFonts w:ascii="Arial" w:cs="Arial" w:eastAsia="Arial" w:hAnsi="Arial"/>
                <w:b w:val="false"/>
                <w:bCs w:val="false"/>
                <w:color w:val="222222"/>
                <w:sz w:val="20"/>
                <w:szCs w:val="20"/>
              </w:rPr>
              <w:t xml:space="preserve">PowerSync</w:t>
            </w:r>
          </w:p>
        </w:tc>
        <w:tc>
          <w:tcPr>
            <w:tcW w:type="dxa" w:w="2000"/>
            <w:tcBorders>
              <w:top w:val="single" w:color="BDC3C7" w:sz="1"/>
              <w:left w:val="single" w:color="BDC3C7" w:sz="1"/>
              <w:bottom w:val="single" w:color="BDC3C7" w:sz="1"/>
              <w:right w:val="single" w:color="BDC3C7" w:sz="1"/>
            </w:tcBorders>
            <w:shd w:fill="F2F3F4" w:val="clear"/>
            <w:tcMar>
              <w:top w:type="dxa" w:w="80"/>
              <w:left w:type="dxa" w:w="120"/>
              <w:bottom w:type="dxa" w:w="80"/>
              <w:right w:type="dxa" w:w="120"/>
            </w:tcMar>
            <w:vAlign w:val="center"/>
          </w:tcPr>
          <w:p>
            <w:pPr>
              <w:jc w:val="left"/>
            </w:pPr>
            <w:r>
              <w:rPr>
                <w:rFonts w:ascii="Arial" w:cs="Arial" w:eastAsia="Arial" w:hAnsi="Arial"/>
                <w:b w:val="false"/>
                <w:bCs w:val="false"/>
                <w:color w:val="222222"/>
                <w:sz w:val="20"/>
                <w:szCs w:val="20"/>
              </w:rPr>
              <w:t xml:space="preserve">Offline mobile sync</w:t>
            </w:r>
          </w:p>
        </w:tc>
        <w:tc>
          <w:tcPr>
            <w:tcW w:type="dxa" w:w="1400"/>
            <w:tcBorders>
              <w:top w:val="single" w:color="BDC3C7" w:sz="1"/>
              <w:left w:val="single" w:color="BDC3C7" w:sz="1"/>
              <w:bottom w:val="single" w:color="BDC3C7" w:sz="1"/>
              <w:right w:val="single" w:color="BDC3C7" w:sz="1"/>
            </w:tcBorders>
            <w:shd w:fill="F2F3F4" w:val="clear"/>
            <w:tcMar>
              <w:top w:type="dxa" w:w="80"/>
              <w:left w:type="dxa" w:w="120"/>
              <w:bottom w:type="dxa" w:w="80"/>
              <w:right w:type="dxa" w:w="120"/>
            </w:tcMar>
            <w:vAlign w:val="center"/>
          </w:tcPr>
          <w:p>
            <w:pPr>
              <w:jc w:val="center"/>
            </w:pPr>
            <w:r>
              <w:rPr>
                <w:rFonts w:ascii="Arial" w:cs="Arial" w:eastAsia="Arial" w:hAnsi="Arial"/>
                <w:b w:val="false"/>
                <w:bCs w:val="false"/>
                <w:color w:val="222222"/>
                <w:sz w:val="20"/>
                <w:szCs w:val="20"/>
              </w:rPr>
              <w:t xml:space="preserve">1K users</w:t>
            </w:r>
          </w:p>
        </w:tc>
        <w:tc>
          <w:tcPr>
            <w:tcW w:type="dxa" w:w="3160"/>
            <w:tcBorders>
              <w:top w:val="single" w:color="BDC3C7" w:sz="1"/>
              <w:left w:val="single" w:color="BDC3C7" w:sz="1"/>
              <w:bottom w:val="single" w:color="BDC3C7" w:sz="1"/>
              <w:right w:val="single" w:color="BDC3C7" w:sz="1"/>
            </w:tcBorders>
            <w:shd w:fill="F2F3F4" w:val="clear"/>
            <w:tcMar>
              <w:top w:type="dxa" w:w="80"/>
              <w:left w:type="dxa" w:w="120"/>
              <w:bottom w:type="dxa" w:w="80"/>
              <w:right w:type="dxa" w:w="120"/>
            </w:tcMar>
            <w:vAlign w:val="center"/>
          </w:tcPr>
          <w:p>
            <w:pPr>
              <w:jc w:val="left"/>
            </w:pPr>
            <w:r>
              <w:rPr>
                <w:rFonts w:ascii="Arial" w:cs="Arial" w:eastAsia="Arial" w:hAnsi="Arial"/>
                <w:b w:val="false"/>
                <w:bCs w:val="false"/>
                <w:color w:val="222222"/>
                <w:sz w:val="20"/>
                <w:szCs w:val="20"/>
              </w:rPr>
              <w:t xml:space="preserve">$35/month</w:t>
            </w:r>
          </w:p>
        </w:tc>
      </w:tr>
      <w:tr>
        <w:tc>
          <w:tcPr>
            <w:tcW w:type="dxa" w:w="2800"/>
            <w:tcBorders>
              <w:top w:val="single" w:color="BDC3C7" w:sz="1"/>
              <w:left w:val="single" w:color="BDC3C7" w:sz="1"/>
              <w:bottom w:val="single" w:color="BDC3C7" w:sz="1"/>
              <w:right w:val="single" w:color="BDC3C7"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222222"/>
                <w:sz w:val="20"/>
                <w:szCs w:val="20"/>
              </w:rPr>
              <w:t xml:space="preserve">Firebase Cloud Messaging</w:t>
            </w:r>
          </w:p>
        </w:tc>
        <w:tc>
          <w:tcPr>
            <w:tcW w:type="dxa" w:w="2000"/>
            <w:tcBorders>
              <w:top w:val="single" w:color="BDC3C7" w:sz="1"/>
              <w:left w:val="single" w:color="BDC3C7" w:sz="1"/>
              <w:bottom w:val="single" w:color="BDC3C7" w:sz="1"/>
              <w:right w:val="single" w:color="BDC3C7"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222222"/>
                <w:sz w:val="20"/>
                <w:szCs w:val="20"/>
              </w:rPr>
              <w:t xml:space="preserve">Push notifications</w:t>
            </w:r>
          </w:p>
        </w:tc>
        <w:tc>
          <w:tcPr>
            <w:tcW w:type="dxa" w:w="1400"/>
            <w:tcBorders>
              <w:top w:val="single" w:color="BDC3C7" w:sz="1"/>
              <w:left w:val="single" w:color="BDC3C7" w:sz="1"/>
              <w:bottom w:val="single" w:color="BDC3C7" w:sz="1"/>
              <w:right w:val="single" w:color="BDC3C7" w:sz="1"/>
            </w:tcBorders>
            <w:shd w:fill="FFFFFF" w:val="clear"/>
            <w:tcMar>
              <w:top w:type="dxa" w:w="80"/>
              <w:left w:type="dxa" w:w="120"/>
              <w:bottom w:type="dxa" w:w="80"/>
              <w:right w:type="dxa" w:w="120"/>
            </w:tcMar>
            <w:vAlign w:val="center"/>
          </w:tcPr>
          <w:p>
            <w:pPr>
              <w:jc w:val="center"/>
            </w:pPr>
            <w:r>
              <w:rPr>
                <w:rFonts w:ascii="Arial" w:cs="Arial" w:eastAsia="Arial" w:hAnsi="Arial"/>
                <w:b w:val="false"/>
                <w:bCs w:val="false"/>
                <w:color w:val="1E8449"/>
                <w:sz w:val="20"/>
                <w:szCs w:val="20"/>
              </w:rPr>
              <w:t xml:space="preserve">Forever</w:t>
            </w:r>
          </w:p>
        </w:tc>
        <w:tc>
          <w:tcPr>
            <w:tcW w:type="dxa" w:w="3160"/>
            <w:tcBorders>
              <w:top w:val="single" w:color="BDC3C7" w:sz="1"/>
              <w:left w:val="single" w:color="BDC3C7" w:sz="1"/>
              <w:bottom w:val="single" w:color="BDC3C7" w:sz="1"/>
              <w:right w:val="single" w:color="BDC3C7"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222222"/>
                <w:sz w:val="20"/>
                <w:szCs w:val="20"/>
              </w:rPr>
              <w:t xml:space="preserve">N/A — always free</w:t>
            </w:r>
          </w:p>
        </w:tc>
      </w:tr>
      <w:tr>
        <w:tc>
          <w:tcPr>
            <w:tcW w:type="dxa" w:w="2800"/>
            <w:tcBorders>
              <w:top w:val="single" w:color="BDC3C7" w:sz="1"/>
              <w:left w:val="single" w:color="BDC3C7" w:sz="1"/>
              <w:bottom w:val="single" w:color="BDC3C7" w:sz="1"/>
              <w:right w:val="single" w:color="BDC3C7" w:sz="1"/>
            </w:tcBorders>
            <w:shd w:fill="F2F3F4" w:val="clear"/>
            <w:tcMar>
              <w:top w:type="dxa" w:w="80"/>
              <w:left w:type="dxa" w:w="120"/>
              <w:bottom w:type="dxa" w:w="80"/>
              <w:right w:type="dxa" w:w="120"/>
            </w:tcMar>
            <w:vAlign w:val="center"/>
          </w:tcPr>
          <w:p>
            <w:pPr>
              <w:jc w:val="left"/>
            </w:pPr>
            <w:r>
              <w:rPr>
                <w:rFonts w:ascii="Arial" w:cs="Arial" w:eastAsia="Arial" w:hAnsi="Arial"/>
                <w:b w:val="false"/>
                <w:bCs w:val="false"/>
                <w:color w:val="222222"/>
                <w:sz w:val="20"/>
                <w:szCs w:val="20"/>
              </w:rPr>
              <w:t xml:space="preserve">PostHog</w:t>
            </w:r>
          </w:p>
        </w:tc>
        <w:tc>
          <w:tcPr>
            <w:tcW w:type="dxa" w:w="2000"/>
            <w:tcBorders>
              <w:top w:val="single" w:color="BDC3C7" w:sz="1"/>
              <w:left w:val="single" w:color="BDC3C7" w:sz="1"/>
              <w:bottom w:val="single" w:color="BDC3C7" w:sz="1"/>
              <w:right w:val="single" w:color="BDC3C7" w:sz="1"/>
            </w:tcBorders>
            <w:shd w:fill="F2F3F4" w:val="clear"/>
            <w:tcMar>
              <w:top w:type="dxa" w:w="80"/>
              <w:left w:type="dxa" w:w="120"/>
              <w:bottom w:type="dxa" w:w="80"/>
              <w:right w:type="dxa" w:w="120"/>
            </w:tcMar>
            <w:vAlign w:val="center"/>
          </w:tcPr>
          <w:p>
            <w:pPr>
              <w:jc w:val="left"/>
            </w:pPr>
            <w:r>
              <w:rPr>
                <w:rFonts w:ascii="Arial" w:cs="Arial" w:eastAsia="Arial" w:hAnsi="Arial"/>
                <w:b w:val="false"/>
                <w:bCs w:val="false"/>
                <w:color w:val="222222"/>
                <w:sz w:val="20"/>
                <w:szCs w:val="20"/>
              </w:rPr>
              <w:t xml:space="preserve">Product analytics</w:t>
            </w:r>
          </w:p>
        </w:tc>
        <w:tc>
          <w:tcPr>
            <w:tcW w:type="dxa" w:w="1400"/>
            <w:tcBorders>
              <w:top w:val="single" w:color="BDC3C7" w:sz="1"/>
              <w:left w:val="single" w:color="BDC3C7" w:sz="1"/>
              <w:bottom w:val="single" w:color="BDC3C7" w:sz="1"/>
              <w:right w:val="single" w:color="BDC3C7" w:sz="1"/>
            </w:tcBorders>
            <w:shd w:fill="F2F3F4" w:val="clear"/>
            <w:tcMar>
              <w:top w:type="dxa" w:w="80"/>
              <w:left w:type="dxa" w:w="120"/>
              <w:bottom w:type="dxa" w:w="80"/>
              <w:right w:type="dxa" w:w="120"/>
            </w:tcMar>
            <w:vAlign w:val="center"/>
          </w:tcPr>
          <w:p>
            <w:pPr>
              <w:jc w:val="center"/>
            </w:pPr>
            <w:r>
              <w:rPr>
                <w:rFonts w:ascii="Arial" w:cs="Arial" w:eastAsia="Arial" w:hAnsi="Arial"/>
                <w:b w:val="false"/>
                <w:bCs w:val="false"/>
                <w:color w:val="222222"/>
                <w:sz w:val="20"/>
                <w:szCs w:val="20"/>
              </w:rPr>
              <w:t xml:space="preserve">1M events/mo</w:t>
            </w:r>
          </w:p>
        </w:tc>
        <w:tc>
          <w:tcPr>
            <w:tcW w:type="dxa" w:w="3160"/>
            <w:tcBorders>
              <w:top w:val="single" w:color="BDC3C7" w:sz="1"/>
              <w:left w:val="single" w:color="BDC3C7" w:sz="1"/>
              <w:bottom w:val="single" w:color="BDC3C7" w:sz="1"/>
              <w:right w:val="single" w:color="BDC3C7" w:sz="1"/>
            </w:tcBorders>
            <w:shd w:fill="F2F3F4" w:val="clear"/>
            <w:tcMar>
              <w:top w:type="dxa" w:w="80"/>
              <w:left w:type="dxa" w:w="120"/>
              <w:bottom w:type="dxa" w:w="80"/>
              <w:right w:type="dxa" w:w="120"/>
            </w:tcMar>
            <w:vAlign w:val="center"/>
          </w:tcPr>
          <w:p>
            <w:pPr>
              <w:jc w:val="left"/>
            </w:pPr>
            <w:r>
              <w:rPr>
                <w:rFonts w:ascii="Arial" w:cs="Arial" w:eastAsia="Arial" w:hAnsi="Arial"/>
                <w:b w:val="false"/>
                <w:bCs w:val="false"/>
                <w:color w:val="222222"/>
                <w:sz w:val="20"/>
                <w:szCs w:val="20"/>
              </w:rPr>
              <w:t xml:space="preserve">~$0.00031/event or self-host</w:t>
            </w:r>
          </w:p>
        </w:tc>
      </w:tr>
      <w:tr>
        <w:tc>
          <w:tcPr>
            <w:tcW w:type="dxa" w:w="2800"/>
            <w:tcBorders>
              <w:top w:val="single" w:color="BDC3C7" w:sz="1"/>
              <w:left w:val="single" w:color="BDC3C7" w:sz="1"/>
              <w:bottom w:val="single" w:color="BDC3C7" w:sz="1"/>
              <w:right w:val="single" w:color="BDC3C7"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222222"/>
                <w:sz w:val="20"/>
                <w:szCs w:val="20"/>
              </w:rPr>
              <w:t xml:space="preserve">Sentry</w:t>
            </w:r>
          </w:p>
        </w:tc>
        <w:tc>
          <w:tcPr>
            <w:tcW w:type="dxa" w:w="2000"/>
            <w:tcBorders>
              <w:top w:val="single" w:color="BDC3C7" w:sz="1"/>
              <w:left w:val="single" w:color="BDC3C7" w:sz="1"/>
              <w:bottom w:val="single" w:color="BDC3C7" w:sz="1"/>
              <w:right w:val="single" w:color="BDC3C7"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222222"/>
                <w:sz w:val="20"/>
                <w:szCs w:val="20"/>
              </w:rPr>
              <w:t xml:space="preserve">Crash reporting</w:t>
            </w:r>
          </w:p>
        </w:tc>
        <w:tc>
          <w:tcPr>
            <w:tcW w:type="dxa" w:w="1400"/>
            <w:tcBorders>
              <w:top w:val="single" w:color="BDC3C7" w:sz="1"/>
              <w:left w:val="single" w:color="BDC3C7" w:sz="1"/>
              <w:bottom w:val="single" w:color="BDC3C7" w:sz="1"/>
              <w:right w:val="single" w:color="BDC3C7" w:sz="1"/>
            </w:tcBorders>
            <w:shd w:fill="FFFFFF" w:val="clear"/>
            <w:tcMar>
              <w:top w:type="dxa" w:w="80"/>
              <w:left w:type="dxa" w:w="120"/>
              <w:bottom w:type="dxa" w:w="80"/>
              <w:right w:type="dxa" w:w="120"/>
            </w:tcMar>
            <w:vAlign w:val="center"/>
          </w:tcPr>
          <w:p>
            <w:pPr>
              <w:jc w:val="center"/>
            </w:pPr>
            <w:r>
              <w:rPr>
                <w:rFonts w:ascii="Arial" w:cs="Arial" w:eastAsia="Arial" w:hAnsi="Arial"/>
                <w:b w:val="false"/>
                <w:bCs w:val="false"/>
                <w:color w:val="222222"/>
                <w:sz w:val="20"/>
                <w:szCs w:val="20"/>
              </w:rPr>
              <w:t xml:space="preserve">5K errors/mo</w:t>
            </w:r>
          </w:p>
        </w:tc>
        <w:tc>
          <w:tcPr>
            <w:tcW w:type="dxa" w:w="3160"/>
            <w:tcBorders>
              <w:top w:val="single" w:color="BDC3C7" w:sz="1"/>
              <w:left w:val="single" w:color="BDC3C7" w:sz="1"/>
              <w:bottom w:val="single" w:color="BDC3C7" w:sz="1"/>
              <w:right w:val="single" w:color="BDC3C7"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222222"/>
                <w:sz w:val="20"/>
                <w:szCs w:val="20"/>
              </w:rPr>
              <w:t xml:space="preserve">$26/month</w:t>
            </w:r>
          </w:p>
        </w:tc>
      </w:tr>
      <w:tr>
        <w:tc>
          <w:tcPr>
            <w:tcW w:type="dxa" w:w="2800"/>
            <w:tcBorders>
              <w:top w:val="single" w:color="BDC3C7" w:sz="1"/>
              <w:left w:val="single" w:color="BDC3C7" w:sz="1"/>
              <w:bottom w:val="single" w:color="BDC3C7" w:sz="1"/>
              <w:right w:val="single" w:color="BDC3C7" w:sz="1"/>
            </w:tcBorders>
            <w:shd w:fill="F2F3F4" w:val="clear"/>
            <w:tcMar>
              <w:top w:type="dxa" w:w="80"/>
              <w:left w:type="dxa" w:w="120"/>
              <w:bottom w:type="dxa" w:w="80"/>
              <w:right w:type="dxa" w:w="120"/>
            </w:tcMar>
            <w:vAlign w:val="center"/>
          </w:tcPr>
          <w:p>
            <w:pPr>
              <w:jc w:val="left"/>
            </w:pPr>
            <w:r>
              <w:rPr>
                <w:rFonts w:ascii="Arial" w:cs="Arial" w:eastAsia="Arial" w:hAnsi="Arial"/>
                <w:b w:val="false"/>
                <w:bCs w:val="false"/>
                <w:color w:val="222222"/>
                <w:sz w:val="20"/>
                <w:szCs w:val="20"/>
              </w:rPr>
              <w:t xml:space="preserve">Resend</w:t>
            </w:r>
          </w:p>
        </w:tc>
        <w:tc>
          <w:tcPr>
            <w:tcW w:type="dxa" w:w="2000"/>
            <w:tcBorders>
              <w:top w:val="single" w:color="BDC3C7" w:sz="1"/>
              <w:left w:val="single" w:color="BDC3C7" w:sz="1"/>
              <w:bottom w:val="single" w:color="BDC3C7" w:sz="1"/>
              <w:right w:val="single" w:color="BDC3C7" w:sz="1"/>
            </w:tcBorders>
            <w:shd w:fill="F2F3F4" w:val="clear"/>
            <w:tcMar>
              <w:top w:type="dxa" w:w="80"/>
              <w:left w:type="dxa" w:w="120"/>
              <w:bottom w:type="dxa" w:w="80"/>
              <w:right w:type="dxa" w:w="120"/>
            </w:tcMar>
            <w:vAlign w:val="center"/>
          </w:tcPr>
          <w:p>
            <w:pPr>
              <w:jc w:val="left"/>
            </w:pPr>
            <w:r>
              <w:rPr>
                <w:rFonts w:ascii="Arial" w:cs="Arial" w:eastAsia="Arial" w:hAnsi="Arial"/>
                <w:b w:val="false"/>
                <w:bCs w:val="false"/>
                <w:color w:val="222222"/>
                <w:sz w:val="20"/>
                <w:szCs w:val="20"/>
              </w:rPr>
              <w:t xml:space="preserve">Transactional email</w:t>
            </w:r>
          </w:p>
        </w:tc>
        <w:tc>
          <w:tcPr>
            <w:tcW w:type="dxa" w:w="1400"/>
            <w:tcBorders>
              <w:top w:val="single" w:color="BDC3C7" w:sz="1"/>
              <w:left w:val="single" w:color="BDC3C7" w:sz="1"/>
              <w:bottom w:val="single" w:color="BDC3C7" w:sz="1"/>
              <w:right w:val="single" w:color="BDC3C7" w:sz="1"/>
            </w:tcBorders>
            <w:shd w:fill="F2F3F4" w:val="clear"/>
            <w:tcMar>
              <w:top w:type="dxa" w:w="80"/>
              <w:left w:type="dxa" w:w="120"/>
              <w:bottom w:type="dxa" w:w="80"/>
              <w:right w:type="dxa" w:w="120"/>
            </w:tcMar>
            <w:vAlign w:val="center"/>
          </w:tcPr>
          <w:p>
            <w:pPr>
              <w:jc w:val="center"/>
            </w:pPr>
            <w:r>
              <w:rPr>
                <w:rFonts w:ascii="Arial" w:cs="Arial" w:eastAsia="Arial" w:hAnsi="Arial"/>
                <w:b w:val="false"/>
                <w:bCs w:val="false"/>
                <w:color w:val="222222"/>
                <w:sz w:val="20"/>
                <w:szCs w:val="20"/>
              </w:rPr>
              <w:t xml:space="preserve">3K emails/mo</w:t>
            </w:r>
          </w:p>
        </w:tc>
        <w:tc>
          <w:tcPr>
            <w:tcW w:type="dxa" w:w="3160"/>
            <w:tcBorders>
              <w:top w:val="single" w:color="BDC3C7" w:sz="1"/>
              <w:left w:val="single" w:color="BDC3C7" w:sz="1"/>
              <w:bottom w:val="single" w:color="BDC3C7" w:sz="1"/>
              <w:right w:val="single" w:color="BDC3C7" w:sz="1"/>
            </w:tcBorders>
            <w:shd w:fill="F2F3F4" w:val="clear"/>
            <w:tcMar>
              <w:top w:type="dxa" w:w="80"/>
              <w:left w:type="dxa" w:w="120"/>
              <w:bottom w:type="dxa" w:w="80"/>
              <w:right w:type="dxa" w:w="120"/>
            </w:tcMar>
            <w:vAlign w:val="center"/>
          </w:tcPr>
          <w:p>
            <w:pPr>
              <w:jc w:val="left"/>
            </w:pPr>
            <w:r>
              <w:rPr>
                <w:rFonts w:ascii="Arial" w:cs="Arial" w:eastAsia="Arial" w:hAnsi="Arial"/>
                <w:b w:val="false"/>
                <w:bCs w:val="false"/>
                <w:color w:val="222222"/>
                <w:sz w:val="20"/>
                <w:szCs w:val="20"/>
              </w:rPr>
              <w:t xml:space="preserve">$20/month</w:t>
            </w:r>
          </w:p>
        </w:tc>
      </w:tr>
      <w:tr>
        <w:tc>
          <w:tcPr>
            <w:tcW w:type="dxa" w:w="2800"/>
            <w:tcBorders>
              <w:top w:val="single" w:color="BDC3C7" w:sz="1"/>
              <w:left w:val="single" w:color="BDC3C7" w:sz="1"/>
              <w:bottom w:val="single" w:color="BDC3C7" w:sz="1"/>
              <w:right w:val="single" w:color="BDC3C7"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222222"/>
                <w:sz w:val="20"/>
                <w:szCs w:val="20"/>
              </w:rPr>
              <w:t xml:space="preserve">TestFlight</w:t>
            </w:r>
          </w:p>
        </w:tc>
        <w:tc>
          <w:tcPr>
            <w:tcW w:type="dxa" w:w="2000"/>
            <w:tcBorders>
              <w:top w:val="single" w:color="BDC3C7" w:sz="1"/>
              <w:left w:val="single" w:color="BDC3C7" w:sz="1"/>
              <w:bottom w:val="single" w:color="BDC3C7" w:sz="1"/>
              <w:right w:val="single" w:color="BDC3C7"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222222"/>
                <w:sz w:val="20"/>
                <w:szCs w:val="20"/>
              </w:rPr>
              <w:t xml:space="preserve">iOS beta distribution</w:t>
            </w:r>
          </w:p>
        </w:tc>
        <w:tc>
          <w:tcPr>
            <w:tcW w:type="dxa" w:w="1400"/>
            <w:tcBorders>
              <w:top w:val="single" w:color="BDC3C7" w:sz="1"/>
              <w:left w:val="single" w:color="BDC3C7" w:sz="1"/>
              <w:bottom w:val="single" w:color="BDC3C7" w:sz="1"/>
              <w:right w:val="single" w:color="BDC3C7" w:sz="1"/>
            </w:tcBorders>
            <w:shd w:fill="FFFFFF" w:val="clear"/>
            <w:tcMar>
              <w:top w:type="dxa" w:w="80"/>
              <w:left w:type="dxa" w:w="120"/>
              <w:bottom w:type="dxa" w:w="80"/>
              <w:right w:type="dxa" w:w="120"/>
            </w:tcMar>
            <w:vAlign w:val="center"/>
          </w:tcPr>
          <w:p>
            <w:pPr>
              <w:jc w:val="center"/>
            </w:pPr>
            <w:r>
              <w:rPr>
                <w:rFonts w:ascii="Arial" w:cs="Arial" w:eastAsia="Arial" w:hAnsi="Arial"/>
                <w:b w:val="false"/>
                <w:bCs w:val="false"/>
                <w:color w:val="1E8449"/>
                <w:sz w:val="20"/>
                <w:szCs w:val="20"/>
              </w:rPr>
              <w:t xml:space="preserve">Forever</w:t>
            </w:r>
          </w:p>
        </w:tc>
        <w:tc>
          <w:tcPr>
            <w:tcW w:type="dxa" w:w="3160"/>
            <w:tcBorders>
              <w:top w:val="single" w:color="BDC3C7" w:sz="1"/>
              <w:left w:val="single" w:color="BDC3C7" w:sz="1"/>
              <w:bottom w:val="single" w:color="BDC3C7" w:sz="1"/>
              <w:right w:val="single" w:color="BDC3C7"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222222"/>
                <w:sz w:val="20"/>
                <w:szCs w:val="20"/>
              </w:rPr>
              <w:t xml:space="preserve">Included with Apple Developer Program</w:t>
            </w:r>
          </w:p>
        </w:tc>
      </w:tr>
      <w:tr>
        <w:tc>
          <w:tcPr>
            <w:tcW w:type="dxa" w:w="2800"/>
            <w:tcBorders>
              <w:top w:val="single" w:color="BDC3C7" w:sz="1"/>
              <w:left w:val="single" w:color="BDC3C7" w:sz="1"/>
              <w:bottom w:val="single" w:color="BDC3C7" w:sz="1"/>
              <w:right w:val="single" w:color="BDC3C7" w:sz="1"/>
            </w:tcBorders>
            <w:shd w:fill="F2F3F4" w:val="clear"/>
            <w:tcMar>
              <w:top w:type="dxa" w:w="80"/>
              <w:left w:type="dxa" w:w="120"/>
              <w:bottom w:type="dxa" w:w="80"/>
              <w:right w:type="dxa" w:w="120"/>
            </w:tcMar>
            <w:vAlign w:val="center"/>
          </w:tcPr>
          <w:p>
            <w:pPr>
              <w:jc w:val="left"/>
            </w:pPr>
            <w:r>
              <w:rPr>
                <w:rFonts w:ascii="Arial" w:cs="Arial" w:eastAsia="Arial" w:hAnsi="Arial"/>
                <w:b w:val="false"/>
                <w:bCs w:val="false"/>
                <w:color w:val="222222"/>
                <w:sz w:val="20"/>
                <w:szCs w:val="20"/>
              </w:rPr>
              <w:t xml:space="preserve">Claude Haiku 4.5</w:t>
            </w:r>
          </w:p>
        </w:tc>
        <w:tc>
          <w:tcPr>
            <w:tcW w:type="dxa" w:w="2000"/>
            <w:tcBorders>
              <w:top w:val="single" w:color="BDC3C7" w:sz="1"/>
              <w:left w:val="single" w:color="BDC3C7" w:sz="1"/>
              <w:bottom w:val="single" w:color="BDC3C7" w:sz="1"/>
              <w:right w:val="single" w:color="BDC3C7" w:sz="1"/>
            </w:tcBorders>
            <w:shd w:fill="F2F3F4" w:val="clear"/>
            <w:tcMar>
              <w:top w:type="dxa" w:w="80"/>
              <w:left w:type="dxa" w:w="120"/>
              <w:bottom w:type="dxa" w:w="80"/>
              <w:right w:type="dxa" w:w="120"/>
            </w:tcMar>
            <w:vAlign w:val="center"/>
          </w:tcPr>
          <w:p>
            <w:pPr>
              <w:jc w:val="left"/>
            </w:pPr>
            <w:r>
              <w:rPr>
                <w:rFonts w:ascii="Arial" w:cs="Arial" w:eastAsia="Arial" w:hAnsi="Arial"/>
                <w:b w:val="false"/>
                <w:bCs w:val="false"/>
                <w:color w:val="222222"/>
                <w:sz w:val="20"/>
                <w:szCs w:val="20"/>
              </w:rPr>
              <w:t xml:space="preserve">AI plan generation</w:t>
            </w:r>
          </w:p>
        </w:tc>
        <w:tc>
          <w:tcPr>
            <w:tcW w:type="dxa" w:w="1400"/>
            <w:tcBorders>
              <w:top w:val="single" w:color="BDC3C7" w:sz="1"/>
              <w:left w:val="single" w:color="BDC3C7" w:sz="1"/>
              <w:bottom w:val="single" w:color="BDC3C7" w:sz="1"/>
              <w:right w:val="single" w:color="BDC3C7" w:sz="1"/>
            </w:tcBorders>
            <w:shd w:fill="F2F3F4" w:val="clear"/>
            <w:tcMar>
              <w:top w:type="dxa" w:w="80"/>
              <w:left w:type="dxa" w:w="120"/>
              <w:bottom w:type="dxa" w:w="80"/>
              <w:right w:type="dxa" w:w="120"/>
            </w:tcMar>
            <w:vAlign w:val="center"/>
          </w:tcPr>
          <w:p>
            <w:pPr>
              <w:jc w:val="center"/>
            </w:pPr>
            <w:r>
              <w:rPr>
                <w:rFonts w:ascii="Arial" w:cs="Arial" w:eastAsia="Arial" w:hAnsi="Arial"/>
                <w:b w:val="false"/>
                <w:bCs w:val="false"/>
                <w:color w:val="222222"/>
                <w:sz w:val="20"/>
                <w:szCs w:val="20"/>
              </w:rPr>
              <w:t xml:space="preserve">Variable</w:t>
            </w:r>
          </w:p>
        </w:tc>
        <w:tc>
          <w:tcPr>
            <w:tcW w:type="dxa" w:w="3160"/>
            <w:tcBorders>
              <w:top w:val="single" w:color="BDC3C7" w:sz="1"/>
              <w:left w:val="single" w:color="BDC3C7" w:sz="1"/>
              <w:bottom w:val="single" w:color="BDC3C7" w:sz="1"/>
              <w:right w:val="single" w:color="BDC3C7" w:sz="1"/>
            </w:tcBorders>
            <w:shd w:fill="F2F3F4" w:val="clear"/>
            <w:tcMar>
              <w:top w:type="dxa" w:w="80"/>
              <w:left w:type="dxa" w:w="120"/>
              <w:bottom w:type="dxa" w:w="80"/>
              <w:right w:type="dxa" w:w="120"/>
            </w:tcMar>
            <w:vAlign w:val="center"/>
          </w:tcPr>
          <w:p>
            <w:pPr>
              <w:jc w:val="left"/>
            </w:pPr>
            <w:r>
              <w:rPr>
                <w:rFonts w:ascii="Arial" w:cs="Arial" w:eastAsia="Arial" w:hAnsi="Arial"/>
                <w:b w:val="false"/>
                <w:bCs w:val="false"/>
                <w:color w:val="222222"/>
                <w:sz w:val="20"/>
                <w:szCs w:val="20"/>
              </w:rPr>
              <w:t xml:space="preserve">~$0.025/plan. 50 users ≈ $25/yr — negligible pre-revenue.</w:t>
            </w:r>
          </w:p>
        </w:tc>
      </w:tr>
      <w:tr>
        <w:tc>
          <w:tcPr>
            <w:tcW w:type="dxa" w:w="2800"/>
            <w:tcBorders>
              <w:top w:val="single" w:color="BDC3C7" w:sz="1"/>
              <w:left w:val="single" w:color="BDC3C7" w:sz="1"/>
              <w:bottom w:val="single" w:color="BDC3C7" w:sz="1"/>
              <w:right w:val="single" w:color="BDC3C7"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222222"/>
                <w:sz w:val="20"/>
                <w:szCs w:val="20"/>
              </w:rPr>
              <w:t xml:space="preserve">Termly</w:t>
            </w:r>
          </w:p>
        </w:tc>
        <w:tc>
          <w:tcPr>
            <w:tcW w:type="dxa" w:w="2000"/>
            <w:tcBorders>
              <w:top w:val="single" w:color="BDC3C7" w:sz="1"/>
              <w:left w:val="single" w:color="BDC3C7" w:sz="1"/>
              <w:bottom w:val="single" w:color="BDC3C7" w:sz="1"/>
              <w:right w:val="single" w:color="BDC3C7"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222222"/>
                <w:sz w:val="20"/>
                <w:szCs w:val="20"/>
              </w:rPr>
              <w:t xml:space="preserve">Privacy policy + ToS</w:t>
            </w:r>
          </w:p>
        </w:tc>
        <w:tc>
          <w:tcPr>
            <w:tcW w:type="dxa" w:w="1400"/>
            <w:tcBorders>
              <w:top w:val="single" w:color="BDC3C7" w:sz="1"/>
              <w:left w:val="single" w:color="BDC3C7" w:sz="1"/>
              <w:bottom w:val="single" w:color="BDC3C7" w:sz="1"/>
              <w:right w:val="single" w:color="BDC3C7" w:sz="1"/>
            </w:tcBorders>
            <w:shd w:fill="FFFFFF" w:val="clear"/>
            <w:tcMar>
              <w:top w:type="dxa" w:w="80"/>
              <w:left w:type="dxa" w:w="120"/>
              <w:bottom w:type="dxa" w:w="80"/>
              <w:right w:type="dxa" w:w="120"/>
            </w:tcMar>
            <w:vAlign w:val="center"/>
          </w:tcPr>
          <w:p>
            <w:pPr>
              <w:jc w:val="center"/>
            </w:pPr>
            <w:r>
              <w:rPr>
                <w:rFonts w:ascii="Arial" w:cs="Arial" w:eastAsia="Arial" w:hAnsi="Arial"/>
                <w:b w:val="false"/>
                <w:bCs w:val="false"/>
                <w:color w:val="1E8449"/>
                <w:sz w:val="20"/>
                <w:szCs w:val="20"/>
              </w:rPr>
              <w:t xml:space="preserve">Forever</w:t>
            </w:r>
          </w:p>
        </w:tc>
        <w:tc>
          <w:tcPr>
            <w:tcW w:type="dxa" w:w="3160"/>
            <w:tcBorders>
              <w:top w:val="single" w:color="BDC3C7" w:sz="1"/>
              <w:left w:val="single" w:color="BDC3C7" w:sz="1"/>
              <w:bottom w:val="single" w:color="BDC3C7" w:sz="1"/>
              <w:right w:val="single" w:color="BDC3C7"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222222"/>
                <w:sz w:val="20"/>
                <w:szCs w:val="20"/>
              </w:rPr>
              <w:t xml:space="preserve">Free tier meets App Store submission requirements.</w:t>
            </w:r>
          </w:p>
        </w:tc>
      </w:tr>
    </w:tbl>
    <w:p>
      <w:pPr>
        <w:spacing w:after="0" w:before="200"/>
      </w:pPr>
    </w:p>
    <w:p>
      <w:pPr>
        <w:pBdr>
          <w:bottom w:val="single" w:color="1B4F72" w:sz="6" w:space="1"/>
        </w:pBdr>
        <w:spacing w:after="160" w:before="160"/>
      </w:pPr>
    </w:p>
    <w:p>
      <w:pPr>
        <w:spacing w:after="0" w:before="80"/>
      </w:pPr>
    </w:p>
    <w:p>
      <w:pPr>
        <w:jc w:val="center"/>
      </w:pPr>
      <w:r>
        <w:rPr>
          <w:rFonts w:ascii="Arial" w:cs="Arial" w:eastAsia="Arial" w:hAnsi="Arial"/>
          <w:b/>
          <w:bCs/>
          <w:color w:val="1B4F72"/>
          <w:sz w:val="20"/>
          <w:szCs w:val="20"/>
        </w:rPr>
        <w:t xml:space="preserve">This document is approved for execution. Revisit at 1,000 MAU, 100 paid subscribers, or Day-30 retention &gt; 30% — whichever comes first.</w:t>
      </w:r>
    </w:p>
    <w:p>
      <w:pPr>
        <w:spacing w:after="0" w:before="40"/>
      </w:pPr>
    </w:p>
    <w:p>
      <w:pPr>
        <w:jc w:val="center"/>
      </w:pPr>
      <w:r>
        <w:rPr>
          <w:rFonts w:ascii="Arial" w:cs="Arial" w:eastAsia="Arial" w:hAnsi="Arial"/>
          <w:i/>
          <w:iCs/>
          <w:color w:val="AAAAAA"/>
          <w:sz w:val="18"/>
          <w:szCs w:val="18"/>
        </w:rPr>
        <w:t xml:space="preserve">Peak Fettle — Confidential — April 30, 2026</w:t>
      </w:r>
    </w:p>
    <w:p>
      <w:pPr>
        <w:spacing w:after="0" w:before="80"/>
      </w:pPr>
    </w:p>
    <w:sectPr>
      <w:headerReference w:type="default" r:id="rId7"/>
      <w:footerReference w:type="default" r:id="rId8"/>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BDC3C7" w:sz="4" w:space="1"/>
      </w:pBdr>
      <w:jc w:val="right"/>
    </w:pPr>
    <w:r>
      <w:rPr>
        <w:rFonts w:ascii="Arial" w:cs="Arial" w:eastAsia="Arial" w:hAnsi="Arial"/>
        <w:i/>
        <w:iCs/>
        <w:color w:val="AAAAAA"/>
        <w:sz w:val="16"/>
        <w:szCs w:val="16"/>
      </w:rPr>
      <w:t xml:space="preserve">Confidential — Internal Use Only     </w:t>
    </w:r>
    <w:r>
      <w:rPr>
        <w:rFonts w:ascii="Arial" w:cs="Arial" w:eastAsia="Arial" w:hAnsi="Arial"/>
        <w:color w:val="AAAAAA"/>
        <w:sz w:val="16"/>
        <w:szCs w:val="16"/>
      </w:rPr>
      <w:t xml:space="preserve">Page </w:t>
    </w:r>
    <w:r>
      <w:rPr>
        <w:rFonts w:ascii="Arial" w:cs="Arial" w:eastAsia="Arial" w:hAnsi="Arial"/>
        <w:color w:val="AAAAAA"/>
        <w:sz w:val="16"/>
        <w:szCs w:val="16"/>
      </w:rPr>
      <w:fldChar w:fldCharType="begin"/>
      <w:instrText xml:space="preserve">PAGE</w:instrText>
      <w:fldChar w:fldCharType="separate"/>
      <w:fldChar w:fldCharType="end"/>
    </w:r>
    <w:r>
      <w:rPr>
        <w:rFonts w:ascii="Arial" w:cs="Arial" w:eastAsia="Arial" w:hAnsi="Arial"/>
        <w:color w:val="AAAAAA"/>
        <w:sz w:val="16"/>
        <w:szCs w:val="16"/>
      </w:rPr>
      <w:t xml:space="preserve"> of </w:t>
    </w:r>
    <w:r>
      <w:rPr>
        <w:rFonts w:ascii="Arial" w:cs="Arial" w:eastAsia="Arial" w:hAnsi="Arial"/>
        <w:color w:val="AAAAAA"/>
        <w:sz w:val="16"/>
        <w:szCs w:val="16"/>
      </w:rPr>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2E86C1" w:sz="4" w:space="1"/>
      </w:pBdr>
      <w:tabs>
        <w:tab w:val="right" w:pos="9360"/>
      </w:tabs>
    </w:pPr>
    <w:r>
      <w:rPr>
        <w:rFonts w:ascii="Arial" w:cs="Arial" w:eastAsia="Arial" w:hAnsi="Arial"/>
        <w:b/>
        <w:bCs/>
        <w:color w:val="1B4F72"/>
        <w:sz w:val="18"/>
        <w:szCs w:val="18"/>
      </w:rPr>
      <w:t xml:space="preserve">PEAK FETTLE</w:t>
    </w:r>
    <w:r>
      <w:rPr>
        <w:rFonts w:ascii="Arial" w:cs="Arial" w:eastAsia="Arial" w:hAnsi="Arial"/>
        <w:color w:val="888888"/>
        <w:sz w:val="18"/>
        <w:szCs w:val="18"/>
      </w:rPr>
      <w:t xml:space="preserve">	$800 Launch Budget Allocation — Executive Report</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abstractNum w:abstractNumId="3" w15:restartNumberingAfterBreak="0">
    <w:multiLevelType w:val="hybridMultilevel"/>
    <w:lvl w:ilvl="0" w15:tentative="1">
      <w:start w:val="1"/>
      <w:numFmt w:val="bullet"/>
      <w:lvlText w:val="◦"/>
      <w:lvlJc w:val="left"/>
      <w:pPr>
        <w:ind w:left="108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60" w:before="320"/>
      <w:outlineLvl w:val="0"/>
    </w:pPr>
    <w:rPr>
      <w:rFonts w:ascii="Arial" w:cs="Arial" w:eastAsia="Arial" w:hAnsi="Arial"/>
      <w:b/>
      <w:bCs/>
      <w:sz w:val="32"/>
      <w:szCs w:val="32"/>
    </w:rPr>
  </w:style>
  <w:style w:type="paragraph" w:styleId="Heading2">
    <w:name w:val="Heading 2"/>
    <w:basedOn w:val="Normal"/>
    <w:next w:val="Normal"/>
    <w:qFormat/>
    <w:pPr>
      <w:spacing w:after="120" w:before="240"/>
      <w:outlineLvl w:val="1"/>
    </w:pPr>
    <w:rPr>
      <w:rFonts w:ascii="Arial" w:cs="Arial" w:eastAsia="Arial" w:hAnsi="Arial"/>
      <w:b/>
      <w:bCs/>
      <w:sz w:val="26"/>
      <w:szCs w:val="26"/>
    </w:rPr>
  </w:style>
  <w:style w:type="paragraph" w:styleId="Heading3">
    <w:name w:val="Heading 3"/>
    <w:basedOn w:val="Normal"/>
    <w:next w:val="Normal"/>
    <w:qFormat/>
    <w:pPr>
      <w:spacing w:after="80" w:before="180"/>
      <w:outlineLvl w:val="2"/>
    </w:pPr>
    <w:rPr>
      <w:rFonts w:ascii="Arial" w:cs="Arial" w:eastAsia="Arial" w:hAnsi="Arial"/>
      <w:b/>
      <w:bCs/>
      <w:sz w:val="22"/>
      <w:szCs w:val="22"/>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2026-04-30T17:15:50.657Z</dcterms:created>
  <dcterms:modified xsi:type="dcterms:W3CDTF">2026-04-30T17:15:50.657Z</dcterms:modified>
</cp:coreProperties>
</file>

<file path=docProps/custom.xml><?xml version="1.0" encoding="utf-8"?>
<Properties xmlns="http://schemas.openxmlformats.org/officeDocument/2006/custom-properties" xmlns:vt="http://schemas.openxmlformats.org/officeDocument/2006/docPropsVTypes"/>
</file>