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</w:pPr>
      <w:r>
        <w:drawing>
          <wp:inline distT="0" distB="0" distL="0" distR="0">
            <wp:extent cx="5274310" cy="1365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right="1680"/>
        <w:jc w:val="center"/>
      </w:pPr>
    </w:p>
    <w:p>
      <w:pPr>
        <w:widowControl/>
        <w:ind w:right="1680" w:firstLine="964" w:firstLineChars="200"/>
        <w:rPr>
          <w:b/>
          <w:bCs/>
          <w:sz w:val="48"/>
          <w:szCs w:val="52"/>
        </w:rPr>
      </w:pPr>
      <w:r>
        <w:rPr>
          <w:rFonts w:hint="eastAsia"/>
          <w:b/>
          <w:bCs/>
          <w:sz w:val="48"/>
          <w:szCs w:val="52"/>
        </w:rPr>
        <w:t>1号机组主泵性能监测报告</w:t>
      </w:r>
    </w:p>
    <w:p>
      <w:pPr>
        <w:widowControl/>
        <w:ind w:right="1680"/>
        <w:jc w:val="center"/>
      </w:pPr>
    </w:p>
    <w:p>
      <w:pPr>
        <w:widowControl/>
        <w:ind w:right="1680"/>
        <w:jc w:val="center"/>
      </w:pPr>
    </w:p>
    <w:p>
      <w:pPr>
        <w:widowControl/>
        <w:ind w:right="840"/>
        <w:jc w:val="right"/>
      </w:pPr>
    </w:p>
    <w:p>
      <w:pPr>
        <w:widowControl/>
        <w:ind w:right="1680"/>
        <w:jc w:val="center"/>
      </w:pPr>
      <w:r>
        <w:drawing>
          <wp:inline distT="0" distB="0" distL="0" distR="0">
            <wp:extent cx="5427980" cy="3634105"/>
            <wp:effectExtent l="0" t="0" r="12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6266" cy="363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right="1050"/>
        <w:jc w:val="right"/>
      </w:pPr>
    </w:p>
    <w:p>
      <w:pPr>
        <w:widowControl/>
        <w:ind w:right="1050"/>
        <w:jc w:val="right"/>
      </w:pPr>
    </w:p>
    <w:p>
      <w:pPr>
        <w:widowControl/>
        <w:ind w:right="1050"/>
        <w:jc w:val="right"/>
      </w:pPr>
    </w:p>
    <w:p>
      <w:pPr>
        <w:widowControl/>
        <w:ind w:right="1050"/>
        <w:jc w:val="right"/>
      </w:pPr>
      <w:r>
        <w:rPr>
          <w:rFonts w:hint="eastAsia"/>
        </w:rPr>
        <w:t>编制：</w:t>
      </w:r>
    </w:p>
    <w:p>
      <w:pPr>
        <w:widowControl/>
        <w:ind w:right="420"/>
        <w:jc w:val="right"/>
      </w:pPr>
    </w:p>
    <w:p>
      <w:pPr>
        <w:widowControl/>
        <w:ind w:right="1050"/>
        <w:jc w:val="right"/>
      </w:pPr>
      <w:r>
        <w:rPr>
          <w:rFonts w:hint="eastAsia"/>
        </w:rPr>
        <w:t>审查：</w:t>
      </w:r>
    </w:p>
    <w:p>
      <w:pPr>
        <w:widowControl/>
        <w:ind w:right="420"/>
        <w:jc w:val="right"/>
      </w:pPr>
    </w:p>
    <w:p>
      <w:pPr>
        <w:widowControl/>
        <w:ind w:right="1050"/>
        <w:jc w:val="right"/>
      </w:pPr>
      <w:r>
        <w:rPr>
          <w:rFonts w:hint="eastAsia"/>
        </w:rPr>
        <w:t>批准：</w:t>
      </w:r>
    </w:p>
    <w:p>
      <w:pPr>
        <w:widowControl/>
        <w:jc w:val="center"/>
      </w:pPr>
      <w:r>
        <w:br w:type="page"/>
      </w:r>
    </w:p>
    <w:p>
      <w:pPr>
        <w:jc w:val="center"/>
        <w:rPr>
          <w:rStyle w:val="16"/>
        </w:rPr>
      </w:pPr>
      <w:r>
        <w:rPr>
          <w:rStyle w:val="16"/>
          <w:rFonts w:hint="eastAsia"/>
        </w:rPr>
        <w:t>1号机组主泵性能监测报告</w:t>
      </w:r>
    </w:p>
    <w:p>
      <w:pPr>
        <w:rPr>
          <w:rStyle w:val="16"/>
          <w:color w:val="31859C" w:themeColor="accent5" w:themeShade="BF"/>
          <w:sz w:val="21"/>
          <w:szCs w:val="21"/>
        </w:rPr>
      </w:pPr>
      <w:r>
        <w:rPr>
          <w:rStyle w:val="16"/>
          <w:b w:val="0"/>
          <w:bCs w:val="0"/>
          <w:color w:val="31859C" w:themeColor="accent5" w:themeShade="BF"/>
          <w:sz w:val="22"/>
          <w:szCs w:val="22"/>
        </w:rPr>
        <w:t xml:space="preserve">% </w:t>
      </w:r>
      <w:r>
        <w:rPr>
          <w:rStyle w:val="16"/>
          <w:rFonts w:hint="eastAsia"/>
          <w:b w:val="0"/>
          <w:bCs w:val="0"/>
          <w:color w:val="31859C" w:themeColor="accent5" w:themeShade="BF"/>
          <w:sz w:val="21"/>
          <w:szCs w:val="21"/>
        </w:rPr>
        <w:t>主泵分析报告每隔一个</w:t>
      </w:r>
      <w:r>
        <w:rPr>
          <w:rFonts w:hint="eastAsia"/>
          <w:color w:val="31859C" w:themeColor="accent5" w:themeShade="BF"/>
          <w:szCs w:val="21"/>
        </w:rPr>
        <w:t>月，一个季度两个时间段自动生成一份，可选择生成频率。</w:t>
      </w:r>
    </w:p>
    <w:p>
      <w:pPr>
        <w:pStyle w:val="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背景介绍</w:t>
      </w:r>
    </w:p>
    <w:p>
      <w:pPr>
        <w:ind w:firstLine="420"/>
      </w:pPr>
      <w:r>
        <w:rPr>
          <w:rFonts w:hint="eastAsia"/>
        </w:rPr>
        <w:t>基于三门核电1号机组主泵运行过程数据，通过设备状态统计、报警事件展示、报警测点展示、趋势图展示、算法预测展示。</w:t>
      </w:r>
    </w:p>
    <w:p>
      <w:pPr>
        <w:ind w:firstLine="420"/>
        <w:rPr>
          <w:u w:val="single"/>
        </w:rPr>
      </w:pPr>
      <w:r>
        <w:rPr>
          <w:rFonts w:hint="eastAsia"/>
        </w:rPr>
        <w:t>本次分析报告分析参数起止时间：</w:t>
      </w:r>
      <w:r>
        <w:rPr>
          <w:rFonts w:hint="eastAsia"/>
          <w:u w:val="single"/>
          <w:lang w:val="en-US" w:eastAsia="zh-CN"/>
        </w:rPr>
        <w:t>#start#</w:t>
      </w:r>
      <w:r>
        <w:rPr>
          <w:rFonts w:hint="eastAsia"/>
        </w:rPr>
        <w:t>至</w:t>
      </w:r>
      <w:r>
        <w:rPr>
          <w:rFonts w:hint="eastAsia"/>
          <w:u w:val="single"/>
          <w:lang w:val="en-US" w:eastAsia="zh-CN"/>
        </w:rPr>
        <w:t>#end#</w:t>
      </w:r>
      <w:r>
        <w:rPr>
          <w:rFonts w:hint="eastAsia"/>
        </w:rPr>
        <w:t>。</w:t>
      </w:r>
    </w:p>
    <w:p>
      <w:pPr>
        <w:rPr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%主泵分析方法介绍：</w:t>
      </w:r>
    </w:p>
    <w:p>
      <w:pPr>
        <w:ind w:left="210" w:hanging="210" w:hangingChars="100"/>
        <w:rPr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%设备评价-设备近期状态动态变化情况；</w:t>
      </w:r>
    </w:p>
    <w:p>
      <w:pPr>
        <w:ind w:left="210" w:hanging="210" w:hangingChars="100"/>
        <w:rPr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%报警统计-设备近期报警状态统计；</w:t>
      </w:r>
    </w:p>
    <w:p>
      <w:pPr>
        <w:ind w:left="210" w:hanging="210" w:hangingChars="100"/>
        <w:rPr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%异常事件-设备异常事件信息展示（详情见系统报警管理模块）；</w:t>
      </w:r>
    </w:p>
    <w:p>
      <w:pPr>
        <w:ind w:left="210" w:hanging="210" w:hangingChars="100"/>
        <w:rPr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%异常测点-设备异常测点信息展示（详情见系统报警管理-实时报警模块）。</w:t>
      </w:r>
    </w:p>
    <w:p>
      <w:pPr>
        <w:pStyle w:val="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报告综述</w:t>
      </w:r>
    </w:p>
    <w:p>
      <w:pPr>
        <w:pStyle w:val="3"/>
        <w:rPr>
          <w:rFonts w:hint="default"/>
          <w:b/>
          <w:bCs/>
          <w:lang w:val="en-US" w:eastAsia="zh-CN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设备评价</w:t>
      </w:r>
    </w:p>
    <w:p>
      <w:pPr>
        <w:jc w:val="center"/>
        <w:rPr>
          <w:color w:val="31859C" w:themeColor="accent5" w:themeShade="BF"/>
        </w:rPr>
      </w:pPr>
    </w:p>
    <w:p>
      <w:pPr>
        <w:jc w:val="center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#pumpHealth#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</w:tc>
      </w:tr>
    </w:tbl>
    <w:p>
      <w:pPr>
        <w:jc w:val="center"/>
        <w:rPr>
          <w:b w:val="0"/>
          <w:bCs w:val="0"/>
        </w:rPr>
      </w:pPr>
    </w:p>
    <w:p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设备报警统计</w:t>
      </w:r>
    </w:p>
    <w:p>
      <w:pPr>
        <w:pStyle w:val="4"/>
        <w:rPr>
          <w:rFonts w:hint="eastAsia"/>
        </w:rPr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报警趋势统计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#alarmTrend#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</w:tc>
      </w:tr>
    </w:tbl>
    <w:p>
      <w:pPr>
        <w:rPr>
          <w:b/>
          <w:bCs/>
        </w:rPr>
      </w:pPr>
    </w:p>
    <w:p>
      <w:pPr>
        <w:pStyle w:val="4"/>
        <w:rPr>
          <w:rStyle w:val="15"/>
          <w:b w:val="0"/>
          <w:bCs w:val="0"/>
        </w:rPr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报警类型统计-</w:t>
      </w:r>
      <w:r>
        <w:t>1A</w:t>
      </w:r>
      <w:r>
        <w:rPr>
          <w:rFonts w:hint="eastAsia"/>
        </w:rPr>
        <w:t>主泵</w:t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#alarmType1A#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/>
          <w:p/>
          <w:p/>
        </w:tc>
      </w:tr>
    </w:tbl>
    <w:p/>
    <w:p>
      <w:pPr>
        <w:pStyle w:val="4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报警类型统计-</w:t>
      </w:r>
      <w:r>
        <w:t>1B</w:t>
      </w:r>
      <w:r>
        <w:rPr>
          <w:rFonts w:hint="eastAsia"/>
        </w:rPr>
        <w:t>主泵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#alarmType1B#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>
            <w:pPr>
              <w:rPr>
                <w:b/>
                <w:bCs/>
              </w:rPr>
            </w:pPr>
          </w:p>
          <w:p/>
        </w:tc>
      </w:tr>
    </w:tbl>
    <w:p/>
    <w:p>
      <w:pPr>
        <w:pStyle w:val="4"/>
      </w:pPr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报警类型统计-</w:t>
      </w:r>
      <w:r>
        <w:t>2A</w:t>
      </w:r>
      <w:r>
        <w:rPr>
          <w:rFonts w:hint="eastAsia"/>
        </w:rPr>
        <w:t>主泵</w:t>
      </w: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#alarmType2A#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/>
          <w:p/>
        </w:tc>
      </w:tr>
    </w:tbl>
    <w:p>
      <w:pPr>
        <w:pStyle w:val="4"/>
      </w:pPr>
      <w:r>
        <w:rPr>
          <w:rFonts w:hint="eastAsia"/>
        </w:rPr>
        <w:t>2</w:t>
      </w:r>
      <w:r>
        <w:t xml:space="preserve">.2.5 </w:t>
      </w:r>
      <w:r>
        <w:rPr>
          <w:rFonts w:hint="eastAsia"/>
        </w:rPr>
        <w:t>报警类型统计-</w:t>
      </w:r>
      <w:r>
        <w:t>2B</w:t>
      </w:r>
      <w:r>
        <w:rPr>
          <w:rFonts w:hint="eastAsia"/>
        </w:rPr>
        <w:t>主泵</w:t>
      </w:r>
    </w:p>
    <w:p/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#alarmType2B#</w:t>
      </w:r>
    </w:p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小结：</w:t>
            </w:r>
          </w:p>
          <w:p>
            <w:pPr>
              <w:rPr>
                <w:b/>
                <w:bCs/>
              </w:rPr>
            </w:pPr>
          </w:p>
          <w:p/>
        </w:tc>
      </w:tr>
    </w:tbl>
    <w:p/>
    <w:p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总结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b/>
                <w:bCs/>
              </w:rPr>
            </w:pPr>
          </w:p>
          <w:p/>
          <w:p/>
          <w:p/>
          <w:p/>
          <w:p/>
        </w:tc>
      </w:tr>
    </w:tbl>
    <w:p/>
    <w:p>
      <w:r>
        <w:br w:type="page"/>
      </w:r>
    </w:p>
    <w:p>
      <w:pPr>
        <w:pStyle w:val="2"/>
      </w:pPr>
      <w:r>
        <w:rPr>
          <w:rFonts w:hint="eastAsia"/>
        </w:rPr>
        <w:t>附录</w:t>
      </w:r>
    </w:p>
    <w:p>
      <w:pPr>
        <w:pStyle w:val="3"/>
      </w:pPr>
      <w:r>
        <w:rPr>
          <w:rFonts w:hint="eastAsia"/>
        </w:rPr>
        <w:t>附录1</w:t>
      </w:r>
      <w:r>
        <w:t xml:space="preserve"> </w:t>
      </w:r>
      <w:r>
        <w:rPr>
          <w:rFonts w:hint="eastAsia"/>
        </w:rPr>
        <w:t>趋势图</w:t>
      </w:r>
    </w:p>
    <w:p>
      <w:r>
        <mc:AlternateContent>
          <mc:Choice Requires="wps">
            <w:drawing>
              <wp:anchor distT="45720" distB="45720" distL="114300" distR="114300" simplePos="0" relativeHeight="251652096" behindDoc="0" locked="0" layoutInCell="1" allowOverlap="1">
                <wp:simplePos x="0" y="0"/>
                <wp:positionH relativeFrom="column">
                  <wp:posOffset>74930</wp:posOffset>
                </wp:positionH>
                <wp:positionV relativeFrom="paragraph">
                  <wp:posOffset>353695</wp:posOffset>
                </wp:positionV>
                <wp:extent cx="5178425" cy="575945"/>
                <wp:effectExtent l="0" t="0" r="22225" b="14605"/>
                <wp:wrapSquare wrapText="bothSides"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8425" cy="575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测点X</w:t>
                            </w:r>
                            <w: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趋势上升，变化强度为X</w:t>
                            </w:r>
                            <w:r>
                              <w:t>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9pt;margin-top:27.85pt;height:45.35pt;width:407.75pt;mso-wrap-distance-bottom:3.6pt;mso-wrap-distance-left:9pt;mso-wrap-distance-right:9pt;mso-wrap-distance-top:3.6pt;z-index:251652096;mso-width-relative:page;mso-height-relative:page;" fillcolor="#FFFFFF" filled="t" stroked="t" coordsize="21600,21600" o:gfxdata="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aPLifYAAAA&#10;CQEAAA8AAAAAAAAAAQAgAAAAIgAAAGRycy9kb3ducmV2LnhtbFBLAQIUABQAAAAIAIdO4kAXLCtp&#10;HQIAAC0EAAAOAAAAAAAAAAEAIAAAACc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测点X</w:t>
                      </w:r>
                      <w:r>
                        <w:t>XX</w:t>
                      </w:r>
                      <w:r>
                        <w:rPr>
                          <w:rFonts w:hint="eastAsia"/>
                        </w:rPr>
                        <w:t>趋势上升，变化强度为X</w:t>
                      </w:r>
                      <w:r>
                        <w:t>XX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>附录1-</w:t>
      </w:r>
      <w:r>
        <w:rPr>
          <w:b/>
          <w:bCs/>
          <w:sz w:val="24"/>
          <w:szCs w:val="28"/>
        </w:rPr>
        <w:t xml:space="preserve">1 </w:t>
      </w:r>
      <w:r>
        <w:rPr>
          <w:rFonts w:hint="eastAsia"/>
          <w:b/>
          <w:bCs/>
          <w:sz w:val="24"/>
          <w:szCs w:val="28"/>
        </w:rPr>
        <w:t>反应堆热功率监测报告</w:t>
      </w:r>
    </w:p>
    <w:p>
      <w:p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#trendPower#</w:t>
      </w:r>
    </w:p>
    <w:p>
      <w:pPr>
        <w:jc w:val="center"/>
      </w:pPr>
      <w:r>
        <w:rPr>
          <w:rFonts w:hint="eastAsia"/>
        </w:rPr>
        <w:t>1号机反应堆热功率特征放大图</w:t>
      </w:r>
    </w:p>
    <w:p/>
    <w:p>
      <w:pPr>
        <w:jc w:val="center"/>
      </w:pPr>
      <w:r>
        <w:br w:type="page"/>
      </w:r>
    </w:p>
    <w:p>
      <w:pPr>
        <w:rPr>
          <w:b/>
          <w:bCs/>
          <w:sz w:val="24"/>
          <w:szCs w:val="28"/>
        </w:rPr>
      </w:pPr>
      <w:r>
        <mc:AlternateContent>
          <mc:Choice Requires="wps">
            <w:drawing>
              <wp:anchor distT="45720" distB="45720" distL="114300" distR="114300" simplePos="0" relativeHeight="251651072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322580</wp:posOffset>
                </wp:positionV>
                <wp:extent cx="5178425" cy="937260"/>
                <wp:effectExtent l="0" t="0" r="22225" b="15240"/>
                <wp:wrapSquare wrapText="bothSides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8425" cy="93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2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测点X</w:t>
                            </w:r>
                            <w:r>
                              <w:t>XXX</w:t>
                            </w:r>
                            <w:r>
                              <w:rPr>
                                <w:rFonts w:hint="eastAsia"/>
                              </w:rPr>
                              <w:t>趋势上升，变化强度X</w:t>
                            </w:r>
                            <w:r>
                              <w:t>XX</w:t>
                            </w:r>
                          </w:p>
                          <w:p>
                            <w:pPr>
                              <w:pStyle w:val="2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测点X</w:t>
                            </w:r>
                            <w:r>
                              <w:t>XXX</w:t>
                            </w:r>
                            <w:r>
                              <w:rPr>
                                <w:rFonts w:hint="eastAsia"/>
                              </w:rPr>
                              <w:t>趋势上升，变化强度X</w:t>
                            </w:r>
                            <w:r>
                              <w:t>XX</w:t>
                            </w:r>
                          </w:p>
                          <w:p>
                            <w:pPr>
                              <w:pStyle w:val="2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测点X</w:t>
                            </w:r>
                            <w:r>
                              <w:t>XXX</w:t>
                            </w:r>
                            <w:r>
                              <w:rPr>
                                <w:rFonts w:hint="eastAsia"/>
                              </w:rPr>
                              <w:t>趋势上升，变化强度X</w:t>
                            </w:r>
                            <w:r>
                              <w:t>XX</w:t>
                            </w:r>
                          </w:p>
                          <w:p>
                            <w:pPr>
                              <w:pStyle w:val="25"/>
                              <w:numPr>
                                <w:ilvl w:val="0"/>
                                <w:numId w:val="1"/>
                              </w:numPr>
                              <w:ind w:firstLineChars="0"/>
                            </w:pPr>
                            <w:r>
                              <w:rPr>
                                <w:rFonts w:hint="eastAsia"/>
                              </w:rPr>
                              <w:t>测点X</w:t>
                            </w:r>
                            <w:r>
                              <w:t>XXX</w:t>
                            </w:r>
                            <w:r>
                              <w:rPr>
                                <w:rFonts w:hint="eastAsia"/>
                              </w:rPr>
                              <w:t>趋势上升，变化强度X</w:t>
                            </w:r>
                            <w:r>
                              <w:t>XX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.55pt;margin-top:25.4pt;height:73.8pt;width:407.75pt;mso-wrap-distance-bottom:3.6pt;mso-wrap-distance-left:9pt;mso-wrap-distance-right:9pt;mso-wrap-distance-top:3.6pt;z-index:251651072;mso-width-relative:page;mso-height-relative:page;" fillcolor="#FFFFFF" filled="t" stroked="t" coordsize="21600,21600" o:gfxdata="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cJ75z1wAAAAkB&#10;AAAPAAAAAAAAAAEAIAAAACIAAABkcnMvZG93bnJldi54bWxQSwECFAAUAAAACACHTuJAC7LdIhwC&#10;AAAtBAAADgAAAAAAAAABACAAAAAmAQAAZHJzL2Uyb0RvYy54bWxQSwUGAAAAAAYABgBZAQAAtAUA&#10;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2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测点X</w:t>
                      </w:r>
                      <w:r>
                        <w:t>XXX</w:t>
                      </w:r>
                      <w:r>
                        <w:rPr>
                          <w:rFonts w:hint="eastAsia"/>
                        </w:rPr>
                        <w:t>趋势上升，变化强度X</w:t>
                      </w:r>
                      <w:r>
                        <w:t>XX</w:t>
                      </w:r>
                    </w:p>
                    <w:p>
                      <w:pPr>
                        <w:pStyle w:val="2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测点X</w:t>
                      </w:r>
                      <w:r>
                        <w:t>XXX</w:t>
                      </w:r>
                      <w:r>
                        <w:rPr>
                          <w:rFonts w:hint="eastAsia"/>
                        </w:rPr>
                        <w:t>趋势上升，变化强度X</w:t>
                      </w:r>
                      <w:r>
                        <w:t>XX</w:t>
                      </w:r>
                    </w:p>
                    <w:p>
                      <w:pPr>
                        <w:pStyle w:val="2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测点X</w:t>
                      </w:r>
                      <w:r>
                        <w:t>XXX</w:t>
                      </w:r>
                      <w:r>
                        <w:rPr>
                          <w:rFonts w:hint="eastAsia"/>
                        </w:rPr>
                        <w:t>趋势上升，变化强度X</w:t>
                      </w:r>
                      <w:r>
                        <w:t>XX</w:t>
                      </w:r>
                    </w:p>
                    <w:p>
                      <w:pPr>
                        <w:pStyle w:val="25"/>
                        <w:numPr>
                          <w:ilvl w:val="0"/>
                          <w:numId w:val="1"/>
                        </w:numPr>
                        <w:ind w:firstLineChars="0"/>
                      </w:pPr>
                      <w:r>
                        <w:rPr>
                          <w:rFonts w:hint="eastAsia"/>
                        </w:rPr>
                        <w:t>测点X</w:t>
                      </w:r>
                      <w:r>
                        <w:t>XXX</w:t>
                      </w:r>
                      <w:r>
                        <w:rPr>
                          <w:rFonts w:hint="eastAsia"/>
                        </w:rPr>
                        <w:t>趋势上升，变化强度X</w:t>
                      </w:r>
                      <w:r>
                        <w:t>XX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>附录</w:t>
      </w:r>
      <w:r>
        <w:rPr>
          <w:b/>
          <w:bCs/>
          <w:sz w:val="24"/>
          <w:szCs w:val="28"/>
        </w:rPr>
        <w:t>1</w:t>
      </w:r>
      <w:r>
        <w:rPr>
          <w:rFonts w:hint="eastAsia"/>
          <w:b/>
          <w:bCs/>
          <w:sz w:val="24"/>
          <w:szCs w:val="28"/>
        </w:rPr>
        <w:t>-</w:t>
      </w:r>
      <w:r>
        <w:rPr>
          <w:b/>
          <w:bCs/>
          <w:sz w:val="24"/>
          <w:szCs w:val="28"/>
        </w:rPr>
        <w:t xml:space="preserve">2 </w:t>
      </w:r>
      <w:r>
        <w:rPr>
          <w:rFonts w:hint="eastAsia"/>
          <w:b/>
          <w:bCs/>
          <w:sz w:val="24"/>
          <w:szCs w:val="28"/>
        </w:rPr>
        <w:t>主泵流量监测报告-趋势图</w:t>
      </w:r>
    </w:p>
    <w:p>
      <w:p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#trendflow#</w:t>
      </w:r>
    </w:p>
    <w:p>
      <w:pPr>
        <w:jc w:val="center"/>
      </w:pPr>
    </w:p>
    <w:p>
      <w:pPr>
        <w:jc w:val="center"/>
      </w:pPr>
      <w:r>
        <w:t>1</w:t>
      </w:r>
      <w:r>
        <w:rPr>
          <w:rFonts w:hint="eastAsia"/>
        </w:rPr>
        <w:t>号机四台主泵流量特征放大图</w:t>
      </w:r>
    </w:p>
    <w:p>
      <w:pPr>
        <w:rPr>
          <w:b/>
          <w:bCs/>
        </w:rPr>
      </w:pPr>
      <w:r>
        <w:rPr>
          <w:rFonts w:hint="eastAsia"/>
        </w:rPr>
        <w:t>其他参数，</w:t>
      </w:r>
      <w:r>
        <w:rPr>
          <w:rFonts w:hint="eastAsia"/>
          <w:b/>
          <w:bCs/>
        </w:rPr>
        <w:t>略。</w:t>
      </w:r>
    </w:p>
    <w:p/>
    <w:p>
      <w:pPr>
        <w:pStyle w:val="3"/>
      </w:pPr>
      <w:r>
        <w:rPr>
          <w:rFonts w:hint="eastAsia"/>
        </w:rPr>
        <w:t>附录</w:t>
      </w:r>
      <w:r>
        <w:t xml:space="preserve">2 </w:t>
      </w:r>
      <w:r>
        <w:rPr>
          <w:rFonts w:hint="eastAsia"/>
        </w:rPr>
        <w:t>模型图</w:t>
      </w:r>
    </w:p>
    <w:p>
      <w:pPr>
        <w:rPr>
          <w:rFonts w:hint="eastAsia"/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%详情请参照设备健康预测与健康管理系统-报警管理功能模块：</w:t>
      </w:r>
    </w:p>
    <w:p>
      <w:pPr>
        <w:rPr>
          <w:b/>
          <w:bCs/>
        </w:rPr>
      </w:pPr>
      <w:r>
        <w:rPr>
          <w:rFonts w:hint="eastAsia"/>
          <w:b/>
          <w:bCs/>
        </w:rPr>
        <w:t>附录2-</w:t>
      </w:r>
      <w:r>
        <w:rPr>
          <w:b/>
          <w:bCs/>
        </w:rPr>
        <w:t xml:space="preserve">1 </w:t>
      </w:r>
      <w:r>
        <w:rPr>
          <w:rFonts w:hint="eastAsia"/>
          <w:b/>
          <w:bCs/>
        </w:rPr>
        <w:t>模型1</w:t>
      </w:r>
      <w:r>
        <w:rPr>
          <w:b/>
          <w:bCs/>
        </w:rPr>
        <w:t>:</w:t>
      </w:r>
    </w:p>
    <w:p>
      <w:r>
        <w:drawing>
          <wp:inline distT="0" distB="0" distL="0" distR="0">
            <wp:extent cx="5274310" cy="2294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附录2-</w:t>
      </w:r>
      <w:r>
        <w:rPr>
          <w:b/>
          <w:bCs/>
        </w:rPr>
        <w:t xml:space="preserve">2 </w:t>
      </w:r>
      <w:r>
        <w:rPr>
          <w:rFonts w:hint="eastAsia"/>
          <w:b/>
          <w:bCs/>
        </w:rPr>
        <w:t>模型</w:t>
      </w:r>
      <w:r>
        <w:rPr>
          <w:b/>
          <w:bCs/>
        </w:rPr>
        <w:t>2:</w:t>
      </w:r>
    </w:p>
    <w:p>
      <w:pPr>
        <w:rPr>
          <w:rFonts w:hint="eastAsia"/>
          <w:b/>
          <w:bCs/>
        </w:rPr>
      </w:pPr>
      <w:r>
        <w:rPr>
          <w:rFonts w:hint="eastAsia"/>
        </w:rPr>
        <w:t>其他模型，</w:t>
      </w:r>
      <w:r>
        <w:rPr>
          <w:rFonts w:hint="eastAsia"/>
          <w:b/>
          <w:bCs/>
        </w:rPr>
        <w:t>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附录3 报警事件记录-3、4、5级报警</w:t>
      </w:r>
    </w:p>
    <w:p>
      <w:pPr>
        <w:rPr>
          <w:rFonts w:hint="eastAsia"/>
          <w:color w:val="31859C" w:themeColor="accent5" w:themeShade="BF"/>
        </w:rPr>
      </w:pPr>
      <w:r>
        <w:rPr>
          <w:rFonts w:hint="eastAsia"/>
          <w:color w:val="31859C" w:themeColor="accent5" w:themeShade="BF"/>
        </w:rPr>
        <w:t>%详情请参照设备健康预测与健康管理系统-报警管理功能模块：</w:t>
      </w:r>
    </w:p>
    <w:p>
      <w:p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#alarmEvent#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25" w:type="dxa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说明：</w:t>
            </w:r>
          </w:p>
          <w:p>
            <w:pPr>
              <w:rPr>
                <w:rFonts w:hint="eastAsia"/>
                <w:b/>
                <w:bCs/>
              </w:rPr>
            </w:pPr>
          </w:p>
        </w:tc>
      </w:tr>
    </w:tbl>
    <w:p>
      <w:pPr>
        <w:rPr>
          <w:rFonts w:hint="eastAsia"/>
          <w:b/>
          <w:bCs/>
        </w:rPr>
      </w:pPr>
    </w:p>
    <w:p>
      <w:pPr>
        <w:tabs>
          <w:tab w:val="left" w:pos="5299"/>
        </w:tabs>
        <w:rPr>
          <w:rFonts w:hint="eastAsia"/>
          <w:b/>
          <w:bCs/>
        </w:rPr>
      </w:pPr>
      <w:r>
        <w:rPr>
          <w:b/>
          <w:bCs/>
        </w:rPr>
        <w:tab/>
      </w:r>
    </w:p>
    <w:p>
      <w:pPr>
        <w:rPr>
          <w:rFonts w:hint="eastAsia"/>
          <w:b/>
          <w:bCs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032008"/>
    <w:multiLevelType w:val="multilevel"/>
    <w:tmpl w:val="4603200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49A"/>
    <w:rsid w:val="000014E2"/>
    <w:rsid w:val="000146FA"/>
    <w:rsid w:val="0001513D"/>
    <w:rsid w:val="000161E4"/>
    <w:rsid w:val="00026FEB"/>
    <w:rsid w:val="00041C03"/>
    <w:rsid w:val="00041F0A"/>
    <w:rsid w:val="000428AC"/>
    <w:rsid w:val="000444E7"/>
    <w:rsid w:val="00052913"/>
    <w:rsid w:val="000606EF"/>
    <w:rsid w:val="0007163F"/>
    <w:rsid w:val="0008148C"/>
    <w:rsid w:val="00081DD0"/>
    <w:rsid w:val="0008491D"/>
    <w:rsid w:val="00085EBD"/>
    <w:rsid w:val="000B2D6E"/>
    <w:rsid w:val="000B5EB6"/>
    <w:rsid w:val="000D17B0"/>
    <w:rsid w:val="000D2A32"/>
    <w:rsid w:val="000D39E1"/>
    <w:rsid w:val="000E6CCA"/>
    <w:rsid w:val="001067BE"/>
    <w:rsid w:val="00112B18"/>
    <w:rsid w:val="00116545"/>
    <w:rsid w:val="00117D58"/>
    <w:rsid w:val="00135D13"/>
    <w:rsid w:val="00144D26"/>
    <w:rsid w:val="001606E3"/>
    <w:rsid w:val="00173F46"/>
    <w:rsid w:val="0017574A"/>
    <w:rsid w:val="00177F47"/>
    <w:rsid w:val="00180111"/>
    <w:rsid w:val="0019269F"/>
    <w:rsid w:val="00192880"/>
    <w:rsid w:val="001A23D8"/>
    <w:rsid w:val="001A2A02"/>
    <w:rsid w:val="001A4739"/>
    <w:rsid w:val="001A7F95"/>
    <w:rsid w:val="001B08C1"/>
    <w:rsid w:val="001B2480"/>
    <w:rsid w:val="001B69DD"/>
    <w:rsid w:val="001D5786"/>
    <w:rsid w:val="00203D1B"/>
    <w:rsid w:val="002063AB"/>
    <w:rsid w:val="0020749A"/>
    <w:rsid w:val="00207913"/>
    <w:rsid w:val="0021501C"/>
    <w:rsid w:val="00215D76"/>
    <w:rsid w:val="00224430"/>
    <w:rsid w:val="002246D3"/>
    <w:rsid w:val="00240C56"/>
    <w:rsid w:val="00253635"/>
    <w:rsid w:val="00257CD4"/>
    <w:rsid w:val="00282598"/>
    <w:rsid w:val="0028461E"/>
    <w:rsid w:val="00285AD5"/>
    <w:rsid w:val="002902F1"/>
    <w:rsid w:val="002A3B9D"/>
    <w:rsid w:val="002A7B18"/>
    <w:rsid w:val="002B1367"/>
    <w:rsid w:val="002B68BD"/>
    <w:rsid w:val="002B78FD"/>
    <w:rsid w:val="002D1818"/>
    <w:rsid w:val="002E3A1A"/>
    <w:rsid w:val="002E6AB8"/>
    <w:rsid w:val="002F119E"/>
    <w:rsid w:val="00302269"/>
    <w:rsid w:val="00313714"/>
    <w:rsid w:val="00317A0E"/>
    <w:rsid w:val="00320603"/>
    <w:rsid w:val="003344FF"/>
    <w:rsid w:val="003459A0"/>
    <w:rsid w:val="003563D9"/>
    <w:rsid w:val="00360008"/>
    <w:rsid w:val="00360642"/>
    <w:rsid w:val="003665E3"/>
    <w:rsid w:val="00372C8A"/>
    <w:rsid w:val="00386C6B"/>
    <w:rsid w:val="00393964"/>
    <w:rsid w:val="003953F2"/>
    <w:rsid w:val="00396F98"/>
    <w:rsid w:val="003974A2"/>
    <w:rsid w:val="003A0C23"/>
    <w:rsid w:val="003A7ED3"/>
    <w:rsid w:val="003B0A44"/>
    <w:rsid w:val="003D14B2"/>
    <w:rsid w:val="003D7E55"/>
    <w:rsid w:val="003E3D74"/>
    <w:rsid w:val="003E3F2A"/>
    <w:rsid w:val="003F113C"/>
    <w:rsid w:val="00405E9A"/>
    <w:rsid w:val="00406249"/>
    <w:rsid w:val="00407CA3"/>
    <w:rsid w:val="0041655E"/>
    <w:rsid w:val="00423761"/>
    <w:rsid w:val="00426D86"/>
    <w:rsid w:val="00431931"/>
    <w:rsid w:val="00437919"/>
    <w:rsid w:val="004415B1"/>
    <w:rsid w:val="00445987"/>
    <w:rsid w:val="0046382F"/>
    <w:rsid w:val="00475366"/>
    <w:rsid w:val="004763F8"/>
    <w:rsid w:val="004C4A5B"/>
    <w:rsid w:val="004D09C9"/>
    <w:rsid w:val="004D632E"/>
    <w:rsid w:val="004F3C5C"/>
    <w:rsid w:val="004F65D1"/>
    <w:rsid w:val="00504F1D"/>
    <w:rsid w:val="005233DD"/>
    <w:rsid w:val="00542631"/>
    <w:rsid w:val="005505B1"/>
    <w:rsid w:val="005975F0"/>
    <w:rsid w:val="005A6DBE"/>
    <w:rsid w:val="005B28E8"/>
    <w:rsid w:val="005C3ADB"/>
    <w:rsid w:val="005E42C0"/>
    <w:rsid w:val="005E578A"/>
    <w:rsid w:val="005F6C2B"/>
    <w:rsid w:val="00600633"/>
    <w:rsid w:val="006079C6"/>
    <w:rsid w:val="0061020D"/>
    <w:rsid w:val="00633A75"/>
    <w:rsid w:val="00633BF6"/>
    <w:rsid w:val="00645F10"/>
    <w:rsid w:val="00687DB3"/>
    <w:rsid w:val="006A2FB6"/>
    <w:rsid w:val="006A4CBA"/>
    <w:rsid w:val="006B6B2F"/>
    <w:rsid w:val="006D4F5F"/>
    <w:rsid w:val="006D63AB"/>
    <w:rsid w:val="006F3B9E"/>
    <w:rsid w:val="006F6477"/>
    <w:rsid w:val="007022F3"/>
    <w:rsid w:val="00706476"/>
    <w:rsid w:val="00736059"/>
    <w:rsid w:val="00744B82"/>
    <w:rsid w:val="00750169"/>
    <w:rsid w:val="007537A0"/>
    <w:rsid w:val="00762C8E"/>
    <w:rsid w:val="007766AF"/>
    <w:rsid w:val="00795F26"/>
    <w:rsid w:val="007C111F"/>
    <w:rsid w:val="007C7CFB"/>
    <w:rsid w:val="007F16F1"/>
    <w:rsid w:val="0080467F"/>
    <w:rsid w:val="00805913"/>
    <w:rsid w:val="0081057B"/>
    <w:rsid w:val="0082388F"/>
    <w:rsid w:val="00831ABF"/>
    <w:rsid w:val="008403C7"/>
    <w:rsid w:val="00847414"/>
    <w:rsid w:val="00851C46"/>
    <w:rsid w:val="0086039F"/>
    <w:rsid w:val="00877A79"/>
    <w:rsid w:val="00880914"/>
    <w:rsid w:val="0089014F"/>
    <w:rsid w:val="008906E2"/>
    <w:rsid w:val="008944A2"/>
    <w:rsid w:val="008B288F"/>
    <w:rsid w:val="008B686A"/>
    <w:rsid w:val="008C5519"/>
    <w:rsid w:val="008D0F34"/>
    <w:rsid w:val="008D1BFE"/>
    <w:rsid w:val="008F4347"/>
    <w:rsid w:val="008F5960"/>
    <w:rsid w:val="009027D0"/>
    <w:rsid w:val="00905D2C"/>
    <w:rsid w:val="00907BC3"/>
    <w:rsid w:val="00911777"/>
    <w:rsid w:val="00925C9D"/>
    <w:rsid w:val="00933CF7"/>
    <w:rsid w:val="00941E9F"/>
    <w:rsid w:val="00952A29"/>
    <w:rsid w:val="00956B40"/>
    <w:rsid w:val="009617AA"/>
    <w:rsid w:val="00962A18"/>
    <w:rsid w:val="009655AB"/>
    <w:rsid w:val="009772B5"/>
    <w:rsid w:val="009979A2"/>
    <w:rsid w:val="009C53B8"/>
    <w:rsid w:val="009D526F"/>
    <w:rsid w:val="009E00C4"/>
    <w:rsid w:val="00A1049D"/>
    <w:rsid w:val="00A218A7"/>
    <w:rsid w:val="00A24AAB"/>
    <w:rsid w:val="00A46677"/>
    <w:rsid w:val="00A469FA"/>
    <w:rsid w:val="00A542E8"/>
    <w:rsid w:val="00A57912"/>
    <w:rsid w:val="00A60107"/>
    <w:rsid w:val="00A7094D"/>
    <w:rsid w:val="00A7102A"/>
    <w:rsid w:val="00A81AFB"/>
    <w:rsid w:val="00AB721C"/>
    <w:rsid w:val="00AC14A2"/>
    <w:rsid w:val="00AC3102"/>
    <w:rsid w:val="00AC39CC"/>
    <w:rsid w:val="00AC54F0"/>
    <w:rsid w:val="00AD1D01"/>
    <w:rsid w:val="00AF1D85"/>
    <w:rsid w:val="00AF33DF"/>
    <w:rsid w:val="00B112B7"/>
    <w:rsid w:val="00B17A29"/>
    <w:rsid w:val="00B34E27"/>
    <w:rsid w:val="00B4114C"/>
    <w:rsid w:val="00B452D7"/>
    <w:rsid w:val="00B60962"/>
    <w:rsid w:val="00B60E00"/>
    <w:rsid w:val="00B7029B"/>
    <w:rsid w:val="00B771F7"/>
    <w:rsid w:val="00B77C62"/>
    <w:rsid w:val="00B81DA4"/>
    <w:rsid w:val="00B8603C"/>
    <w:rsid w:val="00B87E44"/>
    <w:rsid w:val="00B9385E"/>
    <w:rsid w:val="00BA212D"/>
    <w:rsid w:val="00BA3672"/>
    <w:rsid w:val="00BA749C"/>
    <w:rsid w:val="00BB1287"/>
    <w:rsid w:val="00BC5F3C"/>
    <w:rsid w:val="00BD0188"/>
    <w:rsid w:val="00BE09FE"/>
    <w:rsid w:val="00BF74F7"/>
    <w:rsid w:val="00C03E8A"/>
    <w:rsid w:val="00C170E6"/>
    <w:rsid w:val="00C27960"/>
    <w:rsid w:val="00C336F4"/>
    <w:rsid w:val="00C42FC6"/>
    <w:rsid w:val="00C43E5C"/>
    <w:rsid w:val="00C5623A"/>
    <w:rsid w:val="00C6159F"/>
    <w:rsid w:val="00C62202"/>
    <w:rsid w:val="00C6762E"/>
    <w:rsid w:val="00C72C4E"/>
    <w:rsid w:val="00C820F8"/>
    <w:rsid w:val="00C90700"/>
    <w:rsid w:val="00C97E53"/>
    <w:rsid w:val="00CA170D"/>
    <w:rsid w:val="00CA3A28"/>
    <w:rsid w:val="00CB0262"/>
    <w:rsid w:val="00CB3D62"/>
    <w:rsid w:val="00CC0FF9"/>
    <w:rsid w:val="00CE4D89"/>
    <w:rsid w:val="00CE4EC9"/>
    <w:rsid w:val="00CE58EE"/>
    <w:rsid w:val="00CE58F4"/>
    <w:rsid w:val="00CE62BF"/>
    <w:rsid w:val="00D14776"/>
    <w:rsid w:val="00D37938"/>
    <w:rsid w:val="00D42CD7"/>
    <w:rsid w:val="00D51E3B"/>
    <w:rsid w:val="00D56891"/>
    <w:rsid w:val="00D64150"/>
    <w:rsid w:val="00D6692A"/>
    <w:rsid w:val="00D874AB"/>
    <w:rsid w:val="00D9059E"/>
    <w:rsid w:val="00D96C2A"/>
    <w:rsid w:val="00DA179C"/>
    <w:rsid w:val="00DA4A73"/>
    <w:rsid w:val="00DB0414"/>
    <w:rsid w:val="00DB6A5E"/>
    <w:rsid w:val="00DD021A"/>
    <w:rsid w:val="00DD6744"/>
    <w:rsid w:val="00DF22C6"/>
    <w:rsid w:val="00E0586D"/>
    <w:rsid w:val="00E15F98"/>
    <w:rsid w:val="00E21429"/>
    <w:rsid w:val="00E259C0"/>
    <w:rsid w:val="00E271B0"/>
    <w:rsid w:val="00E30620"/>
    <w:rsid w:val="00E34262"/>
    <w:rsid w:val="00E5207E"/>
    <w:rsid w:val="00E56586"/>
    <w:rsid w:val="00E660AB"/>
    <w:rsid w:val="00E67132"/>
    <w:rsid w:val="00E71C99"/>
    <w:rsid w:val="00E913F1"/>
    <w:rsid w:val="00E9197A"/>
    <w:rsid w:val="00E93A7F"/>
    <w:rsid w:val="00E9402D"/>
    <w:rsid w:val="00EB4B8E"/>
    <w:rsid w:val="00EB6B73"/>
    <w:rsid w:val="00EB71AC"/>
    <w:rsid w:val="00EB75BE"/>
    <w:rsid w:val="00EC6A18"/>
    <w:rsid w:val="00EC6B21"/>
    <w:rsid w:val="00ED1519"/>
    <w:rsid w:val="00ED2F2E"/>
    <w:rsid w:val="00ED5FA3"/>
    <w:rsid w:val="00EE4FA8"/>
    <w:rsid w:val="00EF58A3"/>
    <w:rsid w:val="00F070E0"/>
    <w:rsid w:val="00F11CAF"/>
    <w:rsid w:val="00F13460"/>
    <w:rsid w:val="00F27C9A"/>
    <w:rsid w:val="00F31F20"/>
    <w:rsid w:val="00F3644C"/>
    <w:rsid w:val="00F40F78"/>
    <w:rsid w:val="00F4202A"/>
    <w:rsid w:val="00F421BF"/>
    <w:rsid w:val="00F457BC"/>
    <w:rsid w:val="00F63C0E"/>
    <w:rsid w:val="00F76AE3"/>
    <w:rsid w:val="00F812C2"/>
    <w:rsid w:val="00F8310E"/>
    <w:rsid w:val="00F83816"/>
    <w:rsid w:val="00F85599"/>
    <w:rsid w:val="00F86903"/>
    <w:rsid w:val="00F915AC"/>
    <w:rsid w:val="00F95E4F"/>
    <w:rsid w:val="00F97F87"/>
    <w:rsid w:val="00FA52C6"/>
    <w:rsid w:val="00FA5437"/>
    <w:rsid w:val="00FD26D7"/>
    <w:rsid w:val="00FE465F"/>
    <w:rsid w:val="00FF09FA"/>
    <w:rsid w:val="00FF760A"/>
    <w:rsid w:val="0111639A"/>
    <w:rsid w:val="04453937"/>
    <w:rsid w:val="048F405F"/>
    <w:rsid w:val="050371EE"/>
    <w:rsid w:val="05DB3A4D"/>
    <w:rsid w:val="067712ED"/>
    <w:rsid w:val="08313036"/>
    <w:rsid w:val="0B561253"/>
    <w:rsid w:val="0B702C70"/>
    <w:rsid w:val="0E305602"/>
    <w:rsid w:val="0ECA6828"/>
    <w:rsid w:val="135601C4"/>
    <w:rsid w:val="1480790E"/>
    <w:rsid w:val="16E23A2E"/>
    <w:rsid w:val="17685535"/>
    <w:rsid w:val="18674470"/>
    <w:rsid w:val="18B66D59"/>
    <w:rsid w:val="1A612930"/>
    <w:rsid w:val="1B8B7D33"/>
    <w:rsid w:val="1BDB4E7F"/>
    <w:rsid w:val="1CB905E4"/>
    <w:rsid w:val="1DC709F5"/>
    <w:rsid w:val="20AD1BD1"/>
    <w:rsid w:val="21101B4B"/>
    <w:rsid w:val="240E115E"/>
    <w:rsid w:val="249A3CD4"/>
    <w:rsid w:val="24E77C72"/>
    <w:rsid w:val="24EC7222"/>
    <w:rsid w:val="2A797C8A"/>
    <w:rsid w:val="2B3A030F"/>
    <w:rsid w:val="2B955259"/>
    <w:rsid w:val="2BF0681A"/>
    <w:rsid w:val="2C6C375D"/>
    <w:rsid w:val="2EA432D7"/>
    <w:rsid w:val="2F663C01"/>
    <w:rsid w:val="2F7A45B1"/>
    <w:rsid w:val="3023171C"/>
    <w:rsid w:val="30D84FE3"/>
    <w:rsid w:val="32CD3730"/>
    <w:rsid w:val="333964BA"/>
    <w:rsid w:val="374761F1"/>
    <w:rsid w:val="375225DE"/>
    <w:rsid w:val="37C858FC"/>
    <w:rsid w:val="38F53C67"/>
    <w:rsid w:val="3A2340CE"/>
    <w:rsid w:val="3B0D01BA"/>
    <w:rsid w:val="3B1876E9"/>
    <w:rsid w:val="3B8715C6"/>
    <w:rsid w:val="3BEF611E"/>
    <w:rsid w:val="3C1239CF"/>
    <w:rsid w:val="3C9E3C17"/>
    <w:rsid w:val="3D88448E"/>
    <w:rsid w:val="3E063BF5"/>
    <w:rsid w:val="40474C0D"/>
    <w:rsid w:val="41730EE9"/>
    <w:rsid w:val="422B7867"/>
    <w:rsid w:val="42417399"/>
    <w:rsid w:val="424243A3"/>
    <w:rsid w:val="42843214"/>
    <w:rsid w:val="46711D52"/>
    <w:rsid w:val="469D4162"/>
    <w:rsid w:val="4787771B"/>
    <w:rsid w:val="49974B41"/>
    <w:rsid w:val="49A916E0"/>
    <w:rsid w:val="49EB70E9"/>
    <w:rsid w:val="4A076B42"/>
    <w:rsid w:val="4A91362A"/>
    <w:rsid w:val="4B097365"/>
    <w:rsid w:val="4B954149"/>
    <w:rsid w:val="4D304313"/>
    <w:rsid w:val="4E8F1610"/>
    <w:rsid w:val="511333A3"/>
    <w:rsid w:val="5133389D"/>
    <w:rsid w:val="528E0646"/>
    <w:rsid w:val="5335374B"/>
    <w:rsid w:val="54C45065"/>
    <w:rsid w:val="58661C13"/>
    <w:rsid w:val="59261BEC"/>
    <w:rsid w:val="592C2051"/>
    <w:rsid w:val="59E16EA3"/>
    <w:rsid w:val="5D2E073B"/>
    <w:rsid w:val="5DB34D50"/>
    <w:rsid w:val="6105263F"/>
    <w:rsid w:val="64FD39D4"/>
    <w:rsid w:val="69DC5B26"/>
    <w:rsid w:val="6A325778"/>
    <w:rsid w:val="6B865A58"/>
    <w:rsid w:val="6EE116B7"/>
    <w:rsid w:val="6F4F3B78"/>
    <w:rsid w:val="735628C0"/>
    <w:rsid w:val="73F7002B"/>
    <w:rsid w:val="756C6C0C"/>
    <w:rsid w:val="768A1339"/>
    <w:rsid w:val="76A31B2A"/>
    <w:rsid w:val="76F11940"/>
    <w:rsid w:val="775C7DDA"/>
    <w:rsid w:val="7A1E5EA4"/>
    <w:rsid w:val="7A9A278A"/>
    <w:rsid w:val="7BA0750D"/>
    <w:rsid w:val="7C1F1946"/>
    <w:rsid w:val="7CC300BB"/>
    <w:rsid w:val="7CD655FA"/>
    <w:rsid w:val="7E140685"/>
    <w:rsid w:val="7E23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annotation subject"/>
    <w:basedOn w:val="6"/>
    <w:next w:val="6"/>
    <w:link w:val="18"/>
    <w:semiHidden/>
    <w:unhideWhenUsed/>
    <w:qFormat/>
    <w:uiPriority w:val="99"/>
    <w:rPr>
      <w:b/>
      <w:bCs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annotation reference"/>
    <w:basedOn w:val="14"/>
    <w:semiHidden/>
    <w:unhideWhenUsed/>
    <w:qFormat/>
    <w:uiPriority w:val="99"/>
    <w:rPr>
      <w:sz w:val="21"/>
      <w:szCs w:val="21"/>
    </w:rPr>
  </w:style>
  <w:style w:type="character" w:customStyle="1" w:styleId="16">
    <w:name w:val="标题 1 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批注文字 字符"/>
    <w:basedOn w:val="14"/>
    <w:link w:val="6"/>
    <w:semiHidden/>
    <w:qFormat/>
    <w:uiPriority w:val="99"/>
  </w:style>
  <w:style w:type="character" w:customStyle="1" w:styleId="18">
    <w:name w:val="批注主题 字符"/>
    <w:basedOn w:val="17"/>
    <w:link w:val="11"/>
    <w:semiHidden/>
    <w:qFormat/>
    <w:uiPriority w:val="99"/>
    <w:rPr>
      <w:b/>
      <w:bCs/>
    </w:rPr>
  </w:style>
  <w:style w:type="character" w:customStyle="1" w:styleId="19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0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2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3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24">
    <w:name w:val="页脚 字符"/>
    <w:basedOn w:val="14"/>
    <w:link w:val="8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  <w:style w:type="paragraph" w:styleId="26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2D53D9D-B404-4387-91C5-9E1D1862913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174</Words>
  <Characters>994</Characters>
  <Lines>8</Lines>
  <Paragraphs>2</Paragraphs>
  <TotalTime>4</TotalTime>
  <ScaleCrop>false</ScaleCrop>
  <LinksUpToDate>false</LinksUpToDate>
  <CharactersWithSpaces>1166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2019-07-04T01:24:00Z</dcterms:created>
  <dc:creator>User</dc:creator>
  <cp:lastModifiedBy>milla</cp:lastModifiedBy>
  <dcterms:modified xsi:type="dcterms:W3CDTF">2020-05-11T08:25:07Z</dcterms:modified>
  <cp:revision>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