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542"/>
          <w:sz w:val="44"/>
        </w:rPr>
        <w:t>Kezzler Mock Database &amp; AI Setup Guide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Step-by-Step Instructions for Importing the 51-Table Mock Database &amp; Running the Agent</w:t>
      </w:r>
    </w:p>
    <w:p/>
    <w:p>
      <w:pPr>
        <w:pStyle w:val="Heading1"/>
      </w:pPr>
      <w:r>
        <w:rPr>
          <w:color w:val="1E3A8A"/>
        </w:rPr>
        <w:t>1. Overview &amp; Contents</w:t>
      </w:r>
    </w:p>
    <w:p>
      <w:r>
        <w:t>This package contains the full 51-table MySQL database structure for Kezzler, populated with 632 records of realistic Track-and-Trace agribusiness data (products, distributors, sales transactions, field sales reps, QR codes, and anti-counterfeit logs).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1E3A8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t>kezzler_mock_dump.sql</w:t>
            </w:r>
          </w:p>
        </w:tc>
        <w:tc>
          <w:tcPr>
            <w:tcW w:type="dxa" w:w="4968"/>
          </w:tcPr>
          <w:p>
            <w:r>
              <w:t>Complete single-file database dump (51 tables + 632 rows).</w:t>
            </w:r>
          </w:p>
        </w:tc>
      </w:tr>
      <w:tr>
        <w:tc>
          <w:tcPr>
            <w:tcW w:type="dxa" w:w="4968"/>
            <w:shd w:fill="F8FAFC"/>
          </w:tcPr>
          <w:p>
            <w:r>
              <w:t>run_ui.py</w:t>
            </w:r>
          </w:p>
        </w:tc>
        <w:tc>
          <w:tcPr>
            <w:tcW w:type="dxa" w:w="4968"/>
            <w:shd w:fill="F8FAFC"/>
          </w:tcPr>
          <w:p>
            <w:r>
              <w:t>Python script to launch the Web Chat Interface on http://127.0.0.1:8000.</w:t>
            </w:r>
          </w:p>
        </w:tc>
      </w:tr>
      <w:tr>
        <w:tc>
          <w:tcPr>
            <w:tcW w:type="dxa" w:w="4968"/>
          </w:tcPr>
          <w:p>
            <w:r>
              <w:t>seed_meaningful.py</w:t>
            </w:r>
          </w:p>
        </w:tc>
        <w:tc>
          <w:tcPr>
            <w:tcW w:type="dxa" w:w="4968"/>
          </w:tcPr>
          <w:p>
            <w:r>
              <w:t>Script to re-generate realistic domain data across all tables.</w:t>
            </w:r>
          </w:p>
        </w:tc>
      </w:tr>
    </w:tbl>
    <w:p/>
    <w:p>
      <w:pPr>
        <w:pStyle w:val="Heading1"/>
      </w:pPr>
      <w:r>
        <w:rPr>
          <w:color w:val="1E3A8A"/>
        </w:rPr>
        <w:t>2. Step-by-Step Database Import Instructions</w:t>
      </w:r>
    </w:p>
    <w:p>
      <w:r>
        <w:rPr>
          <w:b/>
        </w:rPr>
        <w:t>Choose ONE of the two methods below to import the database into your MySQL server:</w:t>
      </w:r>
    </w:p>
    <w:p>
      <w:pPr>
        <w:pStyle w:val="Heading2"/>
      </w:pPr>
      <w:r>
        <w:rPr>
          <w:color w:val="334155"/>
        </w:rPr>
        <w:t>Option A: Using MySQL Workbench or DBeaver (GUI)</w:t>
      </w:r>
    </w:p>
    <w:p>
      <w:r>
        <w:rPr>
          <w:rFonts w:ascii="Arial" w:hAnsi="Arial"/>
        </w:rPr>
        <w:t xml:space="preserve">1. Open </w:t>
      </w:r>
      <w:r>
        <w:rPr>
          <w:b/>
        </w:rPr>
        <w:t>MySQL Workbench</w:t>
      </w:r>
      <w:r>
        <w:rPr>
          <w:rFonts w:ascii="Arial" w:hAnsi="Arial"/>
        </w:rPr>
        <w:t xml:space="preserve"> or </w:t>
      </w:r>
      <w:r>
        <w:rPr>
          <w:b/>
        </w:rPr>
        <w:t>DBeaver</w:t>
      </w:r>
      <w:r>
        <w:t>.</w:t>
        <w:br/>
        <w:t>2. Connect to your local MySQL server.</w:t>
        <w:br/>
        <w:t xml:space="preserve">3. Click </w:t>
      </w:r>
      <w:r>
        <w:rPr>
          <w:b/>
        </w:rPr>
        <w:t>File -&gt; Open SQL Script</w:t>
      </w:r>
      <w:r>
        <w:t xml:space="preserve"> and select </w:t>
      </w:r>
      <w:r>
        <w:rPr>
          <w:b/>
        </w:rPr>
        <w:t>kezzler_mock_dump.sql</w:t>
      </w:r>
      <w:r>
        <w:t>.</w:t>
        <w:br/>
        <w:t xml:space="preserve">4. Click the </w:t>
      </w:r>
      <w:r>
        <w:rPr>
          <w:b/>
        </w:rPr>
        <w:t>Execute (⚡)</w:t>
      </w:r>
      <w:r>
        <w:t xml:space="preserve"> button to import all tables and data.</w:t>
      </w:r>
    </w:p>
    <w:p>
      <w:pPr>
        <w:pStyle w:val="Heading2"/>
      </w:pPr>
      <w:r>
        <w:rPr>
          <w:color w:val="334155"/>
        </w:rPr>
        <w:t>Option B: Using Command Prompt / Terminal</w:t>
      </w:r>
    </w:p>
    <w:p>
      <w:r>
        <w:t>Open Command Prompt or Terminal and run the following two commands: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r>
              <w:rPr>
                <w:rFonts w:ascii="Consolas" w:hAnsi="Consolas"/>
                <w:color w:val="E2E8F0"/>
                <w:sz w:val="19"/>
              </w:rPr>
              <w:t># Step 1: Create empty database</w:t>
              <w:br/>
              <w:t>mysql -u root -p -e "CREATE DATABASE IF NOT EXISTS kezzler;"</w:t>
              <w:br/>
              <w:br/>
              <w:t># Step 2: Import full database dump</w:t>
              <w:br/>
              <w:t>mysql -u root -p kezzler &lt; kezzler_mock_dump.sql</w:t>
            </w:r>
          </w:p>
        </w:tc>
      </w:tr>
    </w:tbl>
    <w:p/>
    <w:p>
      <w:pPr>
        <w:pStyle w:val="Heading1"/>
      </w:pPr>
      <w:r>
        <w:rPr>
          <w:color w:val="1E3A8A"/>
        </w:rPr>
        <w:t>3. Running the Web Chat Interface</w:t>
      </w:r>
    </w:p>
    <w:p>
      <w:r>
        <w:t>Once the database is imported, start the interactive Text-to-SQL Chat Interface: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r>
              <w:rPr>
                <w:rFonts w:ascii="Consolas" w:hAnsi="Consolas"/>
                <w:color w:val="E2E8F0"/>
                <w:sz w:val="19"/>
              </w:rPr>
              <w:t># 1. Start the web application</w:t>
              <w:br/>
              <w:t>python run_ui.py</w:t>
              <w:br/>
              <w:br/>
              <w:t># 2. Open your web browser at:</w:t>
              <w:br/>
              <w:t>http://127.0.0.1:8000</w:t>
            </w:r>
          </w:p>
        </w:tc>
      </w:tr>
    </w:tbl>
    <w:p/>
    <w:p>
      <w:pPr>
        <w:pStyle w:val="Heading1"/>
      </w:pPr>
      <w:r>
        <w:rPr>
          <w:color w:val="1E3A8A"/>
        </w:rPr>
        <w:t>4. Sample Queries to Test</w:t>
      </w:r>
    </w:p>
    <w:p>
      <w:r>
        <w:t>Try asking these natural language questions in the Chat UI:</w:t>
      </w:r>
    </w:p>
    <w:p>
      <w:pPr>
        <w:pStyle w:val="ListBullet"/>
      </w:pPr>
      <w:r>
        <w:rPr>
          <w:b/>
          <w:color w:val="1E3A8A"/>
        </w:rPr>
        <w:t xml:space="preserve">Standard Query: </w:t>
      </w:r>
      <w:r>
        <w:t>"What are the active distributors?"</w:t>
      </w:r>
    </w:p>
    <w:p>
      <w:pPr>
        <w:pStyle w:val="ListBullet"/>
      </w:pPr>
      <w:r>
        <w:rPr>
          <w:b/>
          <w:color w:val="1E3A8A"/>
        </w:rPr>
        <w:t xml:space="preserve">Revenue Query: </w:t>
      </w:r>
      <w:r>
        <w:t>"Show top 5 distributors by total sales revenue excluding returned sales."</w:t>
      </w:r>
    </w:p>
    <w:p>
      <w:pPr>
        <w:pStyle w:val="ListBullet"/>
      </w:pPr>
      <w:r>
        <w:rPr>
          <w:b/>
          <w:color w:val="1E3A8A"/>
        </w:rPr>
        <w:t xml:space="preserve">6-Table Complex Query: </w:t>
      </w:r>
      <w:r>
        <w:t>"Show total revenue by zone, region, territory, distributor and product."</w:t>
      </w:r>
    </w:p>
    <w:p>
      <w:pPr>
        <w:pStyle w:val="ListBullet"/>
      </w:pPr>
      <w:r>
        <w:rPr>
          <w:b/>
          <w:color w:val="1E3A8A"/>
        </w:rPr>
        <w:t xml:space="preserve">Ambiguous Query: </w:t>
      </w:r>
      <w:r>
        <w:t>"Who is our best distributor? (Agent clarifies assumption)"</w:t>
      </w:r>
    </w:p>
    <w:p>
      <w:pPr>
        <w:pStyle w:val="ListBullet"/>
      </w:pPr>
      <w:r>
        <w:rPr>
          <w:b/>
          <w:color w:val="1E3A8A"/>
        </w:rPr>
        <w:t xml:space="preserve">Out of Scope Query: </w:t>
      </w:r>
      <w:r>
        <w:t>"What is each distributor's lifetime value (LTV)? (Agent declines)"</w:t>
      </w:r>
    </w:p>
    <w:p>
      <w:pPr>
        <w:pStyle w:val="ListBullet"/>
      </w:pPr>
      <w:r>
        <w:rPr>
          <w:b/>
          <w:color w:val="1E3A8A"/>
        </w:rPr>
        <w:t xml:space="preserve">Security Test: </w:t>
      </w:r>
      <w:r>
        <w:t>"Delete returned sales data (Blocked by safety guardrails)"</w:t>
      </w:r>
    </w:p>
    <w:p/>
    <w:p>
      <w:pPr>
        <w:jc w:val="center"/>
      </w:pPr>
      <w:r>
        <w:rPr>
          <w:color w:val="94A3B8"/>
          <w:sz w:val="18"/>
        </w:rPr>
        <w:t>Kezzler AI Agent — Safe Test Environment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