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BUSINESS REQUIREMENTS DOCUMENT (BRD)</w:t>
      </w:r>
    </w:p>
    <w:p>
      <w:pPr>
        <w:jc w:val="center"/>
      </w:pPr>
      <w:r>
        <w:rPr>
          <w:b/>
          <w:sz w:val="28"/>
        </w:rPr>
        <w:t>NovaCart Commerce — AI-Powered Refund Management System</w:t>
      </w:r>
    </w:p>
    <w:p>
      <w:r>
        <w:t>Mock customer-discovery draft | Version 0.1 | Status: Draft for discussion</w:t>
      </w:r>
    </w:p>
    <w:p>
      <w:pPr>
        <w:pStyle w:val="Heading1"/>
      </w:pPr>
      <w:r>
        <w:t>1. Document Control</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Details</w:t>
            </w:r>
          </w:p>
        </w:tc>
      </w:tr>
      <w:tr>
        <w:tc>
          <w:tcPr>
            <w:tcW w:type="dxa" w:w="5112"/>
            <w:vAlign w:val="top"/>
          </w:tcPr>
          <w:p>
            <w:r>
              <w:t>Business / customer</w:t>
            </w:r>
          </w:p>
        </w:tc>
        <w:tc>
          <w:tcPr>
            <w:tcW w:type="dxa" w:w="5112"/>
            <w:vAlign w:val="top"/>
          </w:tcPr>
          <w:p>
            <w:r>
              <w:t>NovaCart Commerce</w:t>
            </w:r>
          </w:p>
        </w:tc>
      </w:tr>
      <w:tr>
        <w:tc>
          <w:tcPr>
            <w:tcW w:type="dxa" w:w="5112"/>
            <w:vAlign w:val="top"/>
          </w:tcPr>
          <w:p>
            <w:r>
              <w:t>Initiative</w:t>
            </w:r>
          </w:p>
        </w:tc>
        <w:tc>
          <w:tcPr>
            <w:tcW w:type="dxa" w:w="5112"/>
            <w:vAlign w:val="top"/>
          </w:tcPr>
          <w:p>
            <w:r>
              <w:t>AI-Powered Refund Management System</w:t>
            </w:r>
          </w:p>
        </w:tc>
      </w:tr>
      <w:tr>
        <w:tc>
          <w:tcPr>
            <w:tcW w:type="dxa" w:w="5112"/>
            <w:vAlign w:val="top"/>
          </w:tcPr>
          <w:p>
            <w:r>
              <w:t>Prepared by</w:t>
            </w:r>
          </w:p>
        </w:tc>
        <w:tc>
          <w:tcPr>
            <w:tcW w:type="dxa" w:w="5112"/>
            <w:vAlign w:val="top"/>
          </w:tcPr>
          <w:p>
            <w:r>
              <w:t>FDE project team / company representative</w:t>
            </w:r>
          </w:p>
        </w:tc>
      </w:tr>
      <w:tr>
        <w:tc>
          <w:tcPr>
            <w:tcW w:type="dxa" w:w="5112"/>
            <w:vAlign w:val="top"/>
          </w:tcPr>
          <w:p>
            <w:r>
              <w:t>Customer representative</w:t>
            </w:r>
          </w:p>
        </w:tc>
        <w:tc>
          <w:tcPr>
            <w:tcW w:type="dxa" w:w="5112"/>
            <w:vAlign w:val="top"/>
          </w:tcPr>
          <w:p>
            <w:r>
              <w:t>To be confirmed during mock discovery</w:t>
            </w:r>
          </w:p>
        </w:tc>
      </w:tr>
      <w:tr>
        <w:tc>
          <w:tcPr>
            <w:tcW w:type="dxa" w:w="5112"/>
            <w:vAlign w:val="top"/>
          </w:tcPr>
          <w:p>
            <w:r>
              <w:t>Version / status</w:t>
            </w:r>
          </w:p>
        </w:tc>
        <w:tc>
          <w:tcPr>
            <w:tcW w:type="dxa" w:w="5112"/>
            <w:vAlign w:val="top"/>
          </w:tcPr>
          <w:p>
            <w:r>
              <w:t>0.1 — Draft; assumptions and targets require customer validation</w:t>
            </w:r>
          </w:p>
        </w:tc>
      </w:tr>
      <w:tr>
        <w:tc>
          <w:tcPr>
            <w:tcW w:type="dxa" w:w="5112"/>
            <w:vAlign w:val="top"/>
          </w:tcPr>
          <w:p>
            <w:r>
              <w:t>Purpose</w:t>
            </w:r>
          </w:p>
        </w:tc>
        <w:tc>
          <w:tcPr>
            <w:tcW w:type="dxa" w:w="5112"/>
            <w:vAlign w:val="top"/>
          </w:tcPr>
          <w:p>
            <w:r>
              <w:t>Capture business needs, scope, business rules, expected outcomes, constraints and open decisions before solution design.</w:t>
            </w:r>
          </w:p>
        </w:tc>
      </w:tr>
    </w:tbl>
    <w:p>
      <w:pPr>
        <w:pStyle w:val="Heading1"/>
      </w:pPr>
      <w:r>
        <w:t>2. Executive Summary</w:t>
      </w:r>
    </w:p>
    <w:p>
      <w:r>
        <w:t>NovaCart Commerce operates an omnichannel digital commerce platform across marketplace and quick-commerce fulfilment. Refund requests arise from failed payments, cancellations, missing or incorrect items, damaged goods, quality issues and returns. The proposed system will coordinate the refund lifecycle from request intake through verification, policy eligibility, duplicate and risk checks, approval, payment execution, settlement reconciliation, customer communication and closure. The objective is controlled, auditable automation—not automatic approval of every claim.</w:t>
      </w:r>
    </w:p>
    <w:p>
      <w:r>
        <w:t>Important: This is a discovery draft based on the supplied company profile. Numeric targets, policy details, integrations, service levels and release scope are not yet approved.</w:t>
      </w:r>
    </w:p>
    <w:p>
      <w:pPr>
        <w:pStyle w:val="Heading1"/>
      </w:pPr>
      <w:r>
        <w:t>3. Business Context and Problem Statement</w:t>
      </w:r>
    </w:p>
    <w:p>
      <w:pPr>
        <w:pStyle w:val="ListBullet"/>
      </w:pPr>
      <w:r>
        <w:t>Refund decisions may require information from orders, item-level fulfilment, delivery evidence, return policies, payment attempts, prior claims, risk indicators and settlement records.</w:t>
      </w:r>
    </w:p>
    <w:p>
      <w:pPr>
        <w:pStyle w:val="ListBullet"/>
      </w:pPr>
      <w:r>
        <w:t>Manual checks can slow eligible refunds and create inconsistent decisions or high operational effort.</w:t>
      </w:r>
    </w:p>
    <w:p>
      <w:pPr>
        <w:pStyle w:val="ListBullet"/>
      </w:pPr>
      <w:r>
        <w:t>Duplicate claims or concurrent requests can cause excessive or repeated financial execution unless controlled.</w:t>
      </w:r>
    </w:p>
    <w:p>
      <w:pPr>
        <w:pStyle w:val="ListBullet"/>
      </w:pPr>
      <w:r>
        <w:t>A payment provider may report success while internal ledger or settlement records remain unmatched.</w:t>
      </w:r>
    </w:p>
    <w:p>
      <w:pPr>
        <w:pStyle w:val="ListBullet"/>
      </w:pPr>
      <w:r>
        <w:t>Refund amounts can involve product price, discounts, coupons, taxes, delivery/service fees, wallet credits, promotional benefits, seller settlements and adjustments.</w:t>
      </w:r>
    </w:p>
    <w:p>
      <w:pPr>
        <w:pStyle w:val="ListBullet"/>
      </w:pPr>
      <w:r>
        <w:t>Finance and Legal must approve financial allocation rules; an AI model must not invent or independently determine those rules.</w:t>
      </w:r>
    </w:p>
    <w:p>
      <w:pPr>
        <w:pStyle w:val="Heading1"/>
      </w:pPr>
      <w:r>
        <w:t>4. Business Objectives and Expected Outcomes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Objective</w:t>
            </w:r>
          </w:p>
        </w:tc>
        <w:tc>
          <w:tcPr>
            <w:tcW w:type="dxa" w:w="3408"/>
          </w:tcPr>
          <w:p>
            <w:r>
              <w:rPr>
                <w:b/>
              </w:rPr>
              <w:t>Expected outcome / measure</w:t>
            </w:r>
          </w:p>
        </w:tc>
      </w:tr>
      <w:tr>
        <w:tc>
          <w:tcPr>
            <w:tcW w:type="dxa" w:w="3408"/>
            <w:vAlign w:val="top"/>
          </w:tcPr>
          <w:p>
            <w:r>
              <w:t>BO-01</w:t>
            </w:r>
          </w:p>
        </w:tc>
        <w:tc>
          <w:tcPr>
            <w:tcW w:type="dxa" w:w="3408"/>
            <w:vAlign w:val="top"/>
          </w:tcPr>
          <w:p>
            <w:r>
              <w:t>Automate refund eligibility</w:t>
            </w:r>
          </w:p>
        </w:tc>
        <w:tc>
          <w:tcPr>
            <w:tcW w:type="dxa" w:w="3408"/>
            <w:vAlign w:val="top"/>
          </w:tcPr>
          <w:p>
            <w:r>
              <w:t>Reduce manual policy checks for eligible claims.</w:t>
            </w:r>
          </w:p>
        </w:tc>
      </w:tr>
      <w:tr>
        <w:tc>
          <w:tcPr>
            <w:tcW w:type="dxa" w:w="3408"/>
            <w:vAlign w:val="top"/>
          </w:tcPr>
          <w:p>
            <w:r>
              <w:t>BO-02</w:t>
            </w:r>
          </w:p>
        </w:tc>
        <w:tc>
          <w:tcPr>
            <w:tcW w:type="dxa" w:w="3408"/>
            <w:vAlign w:val="top"/>
          </w:tcPr>
          <w:p>
            <w:r>
              <w:t>Prevent duplicate or excessive refunds</w:t>
            </w:r>
          </w:p>
        </w:tc>
        <w:tc>
          <w:tcPr>
            <w:tcW w:type="dxa" w:w="3408"/>
            <w:vAlign w:val="top"/>
          </w:tcPr>
          <w:p>
            <w:r>
              <w:t>No refund exceeds the remaining eligible amount; duplicate execution is prevented.</w:t>
            </w:r>
          </w:p>
        </w:tc>
      </w:tr>
      <w:tr>
        <w:tc>
          <w:tcPr>
            <w:tcW w:type="dxa" w:w="3408"/>
            <w:vAlign w:val="top"/>
          </w:tcPr>
          <w:p>
            <w:r>
              <w:t>BO-03</w:t>
            </w:r>
          </w:p>
        </w:tc>
        <w:tc>
          <w:tcPr>
            <w:tcW w:type="dxa" w:w="3408"/>
            <w:vAlign w:val="top"/>
          </w:tcPr>
          <w:p>
            <w:r>
              <w:t>Assess suspicious claims</w:t>
            </w:r>
          </w:p>
        </w:tc>
        <w:tc>
          <w:tcPr>
            <w:tcW w:type="dxa" w:w="3408"/>
            <w:vAlign w:val="top"/>
          </w:tcPr>
          <w:p>
            <w:r>
              <w:t>Identify anomalies and route high-risk or ambiguous cases for review.</w:t>
            </w:r>
          </w:p>
        </w:tc>
      </w:tr>
      <w:tr>
        <w:tc>
          <w:tcPr>
            <w:tcW w:type="dxa" w:w="3408"/>
            <w:vAlign w:val="top"/>
          </w:tcPr>
          <w:p>
            <w:r>
              <w:t>BO-04</w:t>
            </w:r>
          </w:p>
        </w:tc>
        <w:tc>
          <w:tcPr>
            <w:tcW w:type="dxa" w:w="3408"/>
            <w:vAlign w:val="top"/>
          </w:tcPr>
          <w:p>
            <w:r>
              <w:t>Accelerate eligible refunds</w:t>
            </w:r>
          </w:p>
        </w:tc>
        <w:tc>
          <w:tcPr>
            <w:tcW w:type="dxa" w:w="3408"/>
            <w:vAlign w:val="top"/>
          </w:tcPr>
          <w:p>
            <w:r>
              <w:t>Reduce refund turnaround time against an agreed baseline.</w:t>
            </w:r>
          </w:p>
        </w:tc>
      </w:tr>
      <w:tr>
        <w:tc>
          <w:tcPr>
            <w:tcW w:type="dxa" w:w="3408"/>
            <w:vAlign w:val="top"/>
          </w:tcPr>
          <w:p>
            <w:r>
              <w:t>BO-05</w:t>
            </w:r>
          </w:p>
        </w:tc>
        <w:tc>
          <w:tcPr>
            <w:tcW w:type="dxa" w:w="3408"/>
            <w:vAlign w:val="top"/>
          </w:tcPr>
          <w:p>
            <w:r>
              <w:t>Improve reconciliation</w:t>
            </w:r>
          </w:p>
        </w:tc>
        <w:tc>
          <w:tcPr>
            <w:tcW w:type="dxa" w:w="3408"/>
            <w:vAlign w:val="top"/>
          </w:tcPr>
          <w:p>
            <w:r>
              <w:t>Match refund instructions, provider responses, settlement reports and ledger entries.</w:t>
            </w:r>
          </w:p>
        </w:tc>
      </w:tr>
      <w:tr>
        <w:tc>
          <w:tcPr>
            <w:tcW w:type="dxa" w:w="3408"/>
            <w:vAlign w:val="top"/>
          </w:tcPr>
          <w:p>
            <w:r>
              <w:t>BO-06</w:t>
            </w:r>
          </w:p>
        </w:tc>
        <w:tc>
          <w:tcPr>
            <w:tcW w:type="dxa" w:w="3408"/>
            <w:vAlign w:val="top"/>
          </w:tcPr>
          <w:p>
            <w:r>
              <w:t>Improve customer experience</w:t>
            </w:r>
          </w:p>
        </w:tc>
        <w:tc>
          <w:tcPr>
            <w:tcW w:type="dxa" w:w="3408"/>
            <w:vAlign w:val="top"/>
          </w:tcPr>
          <w:p>
            <w:r>
              <w:t>Provide accurate and timely status updates.</w:t>
            </w:r>
          </w:p>
        </w:tc>
      </w:tr>
      <w:tr>
        <w:tc>
          <w:tcPr>
            <w:tcW w:type="dxa" w:w="3408"/>
            <w:vAlign w:val="top"/>
          </w:tcPr>
          <w:p>
            <w:r>
              <w:t>BO-07</w:t>
            </w:r>
          </w:p>
        </w:tc>
        <w:tc>
          <w:tcPr>
            <w:tcW w:type="dxa" w:w="3408"/>
            <w:vAlign w:val="top"/>
          </w:tcPr>
          <w:p>
            <w:r>
              <w:t>Establish auditability</w:t>
            </w:r>
          </w:p>
        </w:tc>
        <w:tc>
          <w:tcPr>
            <w:tcW w:type="dxa" w:w="3408"/>
            <w:vAlign w:val="top"/>
          </w:tcPr>
          <w:p>
            <w:r>
              <w:t>Trace each claim, decision, payment attempt and final financial outcome.</w:t>
            </w:r>
          </w:p>
        </w:tc>
      </w:tr>
    </w:tbl>
    <w:p>
      <w:pPr>
        <w:pStyle w:val="Heading1"/>
      </w:pPr>
      <w:r>
        <w:t>5. Scope</w:t>
      </w:r>
    </w:p>
    <w:p>
      <w:pPr>
        <w:pStyle w:val="Heading2"/>
      </w:pPr>
      <w:r>
        <w:t>5.1 Proposed in-scope capabilities</w:t>
      </w:r>
    </w:p>
    <w:p>
      <w:pPr>
        <w:pStyle w:val="ListBullet"/>
      </w:pPr>
      <w:r>
        <w:t>Accept refund requests from agreed channels and capture order ID, item, quantity, reason, requested resolution and evidence.</w:t>
      </w:r>
    </w:p>
    <w:p>
      <w:pPr>
        <w:pStyle w:val="ListBullet"/>
      </w:pPr>
      <w:r>
        <w:t>Verify customer/order identity, order existence, payment reference, fulfilment state and prior refund history.</w:t>
      </w:r>
    </w:p>
    <w:p>
      <w:pPr>
        <w:pStyle w:val="ListBullet"/>
      </w:pPr>
      <w:r>
        <w:t>Apply approved, deterministic eligibility and refund-calculation rules.</w:t>
      </w:r>
    </w:p>
    <w:p>
      <w:pPr>
        <w:pStyle w:val="ListBullet"/>
      </w:pPr>
      <w:r>
        <w:t>Check duplicate claims, reserved refunds, executed refunds, reversals and remaining refundable balance.</w:t>
      </w:r>
    </w:p>
    <w:p>
      <w:pPr>
        <w:pStyle w:val="ListBullet"/>
      </w:pPr>
      <w:r>
        <w:t>Use AI/ML-assisted risk scoring and evidence classification to support decisions; route uncertain/high-risk cases to authorized reviewers.</w:t>
      </w:r>
    </w:p>
    <w:p>
      <w:pPr>
        <w:pStyle w:val="ListBullet"/>
      </w:pPr>
      <w:r>
        <w:t>Route decisions using approved risk bands, refund thresholds and escalation rules.</w:t>
      </w:r>
    </w:p>
    <w:p>
      <w:pPr>
        <w:pStyle w:val="ListBullet"/>
      </w:pPr>
      <w:r>
        <w:t>Execute approved refunds through agreed payment-provider or wallet integrations with idempotency and transaction controls.</w:t>
      </w:r>
    </w:p>
    <w:p>
      <w:pPr>
        <w:pStyle w:val="ListBullet"/>
      </w:pPr>
      <w:r>
        <w:t>Reconcile provider responses, settlement records and internal ledger entries; place mismatches into an exception queue.</w:t>
      </w:r>
    </w:p>
    <w:p>
      <w:pPr>
        <w:pStyle w:val="ListBullet"/>
      </w:pPr>
      <w:r>
        <w:t>Notify customers with verified status and preserve audit evidence.</w:t>
      </w:r>
    </w:p>
    <w:p>
      <w:pPr>
        <w:pStyle w:val="ListBullet"/>
      </w:pPr>
      <w:r>
        <w:t>Provide operational queues, audit history and agreed KPI reporting.</w:t>
      </w:r>
    </w:p>
    <w:p>
      <w:pPr>
        <w:pStyle w:val="Heading2"/>
      </w:pPr>
      <w:r>
        <w:t>5.2 Out of scope until confirmed</w:t>
      </w:r>
    </w:p>
    <w:p>
      <w:pPr>
        <w:pStyle w:val="ListBullet"/>
      </w:pPr>
      <w:r>
        <w:t>Changing NovaCart’s refund, return, seller, tax or promotional policies.</w:t>
      </w:r>
    </w:p>
    <w:p>
      <w:pPr>
        <w:pStyle w:val="ListBullet"/>
      </w:pPr>
      <w:r>
        <w:t>Letting AI independently decide financial eligibility, calculate authoritative refund amounts or execute payments outside approved controls.</w:t>
      </w:r>
    </w:p>
    <w:p>
      <w:pPr>
        <w:pStyle w:val="ListBullet"/>
      </w:pPr>
      <w:r>
        <w:t>Replacing payment gateways, order management, fulfilment systems or the finance ledger.</w:t>
      </w:r>
    </w:p>
    <w:p>
      <w:pPr>
        <w:pStyle w:val="ListBullet"/>
      </w:pPr>
      <w:r>
        <w:t>Automatic resolution of every high-risk case or every reconciliation mismatch.</w:t>
      </w:r>
    </w:p>
    <w:p>
      <w:pPr>
        <w:pStyle w:val="ListBullet"/>
      </w:pPr>
      <w:r>
        <w:t>Specific channels, geographies, currencies, vendors or legacy-system migrations not yet confirmed.</w:t>
      </w:r>
    </w:p>
    <w:p>
      <w:pPr>
        <w:pStyle w:val="Heading1"/>
      </w:pPr>
      <w:r>
        <w:t>6. Stakeholders and Ownership</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Stakeholder</w:t>
            </w:r>
          </w:p>
        </w:tc>
        <w:tc>
          <w:tcPr>
            <w:tcW w:type="dxa" w:w="5112"/>
          </w:tcPr>
          <w:p>
            <w:r>
              <w:rPr>
                <w:b/>
              </w:rPr>
              <w:t>Expected responsibility / decisions to confirm</w:t>
            </w:r>
          </w:p>
        </w:tc>
      </w:tr>
      <w:tr>
        <w:tc>
          <w:tcPr>
            <w:tcW w:type="dxa" w:w="5112"/>
            <w:vAlign w:val="top"/>
          </w:tcPr>
          <w:p>
            <w:r>
              <w:t>Customer experience</w:t>
            </w:r>
          </w:p>
        </w:tc>
        <w:tc>
          <w:tcPr>
            <w:tcW w:type="dxa" w:w="5112"/>
            <w:vAlign w:val="top"/>
          </w:tcPr>
          <w:p>
            <w:r>
              <w:t>Customer-facing journeys, notifications, complaint handling.</w:t>
            </w:r>
          </w:p>
        </w:tc>
      </w:tr>
      <w:tr>
        <w:tc>
          <w:tcPr>
            <w:tcW w:type="dxa" w:w="5112"/>
            <w:vAlign w:val="top"/>
          </w:tcPr>
          <w:p>
            <w:r>
              <w:t>Refund operations</w:t>
            </w:r>
          </w:p>
        </w:tc>
        <w:tc>
          <w:tcPr>
            <w:tcW w:type="dxa" w:w="5112"/>
            <w:vAlign w:val="top"/>
          </w:tcPr>
          <w:p>
            <w:r>
              <w:t>Manual review, exception queues, procedures and escalation.</w:t>
            </w:r>
          </w:p>
        </w:tc>
      </w:tr>
      <w:tr>
        <w:tc>
          <w:tcPr>
            <w:tcW w:type="dxa" w:w="5112"/>
            <w:vAlign w:val="top"/>
          </w:tcPr>
          <w:p>
            <w:r>
              <w:t>Finance &amp; accounting</w:t>
            </w:r>
          </w:p>
        </w:tc>
        <w:tc>
          <w:tcPr>
            <w:tcW w:type="dxa" w:w="5112"/>
            <w:vAlign w:val="top"/>
          </w:tcPr>
          <w:p>
            <w:r>
              <w:t>Refund accounting, ledger accuracy, settlement reconciliation and financial allocation rules.</w:t>
            </w:r>
          </w:p>
        </w:tc>
      </w:tr>
      <w:tr>
        <w:tc>
          <w:tcPr>
            <w:tcW w:type="dxa" w:w="5112"/>
            <w:vAlign w:val="top"/>
          </w:tcPr>
          <w:p>
            <w:r>
              <w:t>Payments team</w:t>
            </w:r>
          </w:p>
        </w:tc>
        <w:tc>
          <w:tcPr>
            <w:tcW w:type="dxa" w:w="5112"/>
            <w:vAlign w:val="top"/>
          </w:tcPr>
          <w:p>
            <w:r>
              <w:t>Gateway, UPI/card/wallet integrations, reversals and provider statuses.</w:t>
            </w:r>
          </w:p>
        </w:tc>
      </w:tr>
      <w:tr>
        <w:tc>
          <w:tcPr>
            <w:tcW w:type="dxa" w:w="5112"/>
            <w:vAlign w:val="top"/>
          </w:tcPr>
          <w:p>
            <w:r>
              <w:t>Marketplace operations</w:t>
            </w:r>
          </w:p>
        </w:tc>
        <w:tc>
          <w:tcPr>
            <w:tcW w:type="dxa" w:w="5112"/>
            <w:vAlign w:val="top"/>
          </w:tcPr>
          <w:p>
            <w:r>
              <w:t>Seller coordination, return policy and disputes.</w:t>
            </w:r>
          </w:p>
        </w:tc>
      </w:tr>
      <w:tr>
        <w:tc>
          <w:tcPr>
            <w:tcW w:type="dxa" w:w="5112"/>
            <w:vAlign w:val="top"/>
          </w:tcPr>
          <w:p>
            <w:r>
              <w:t>Quick-commerce operations</w:t>
            </w:r>
          </w:p>
        </w:tc>
        <w:tc>
          <w:tcPr>
            <w:tcW w:type="dxa" w:w="5112"/>
            <w:vAlign w:val="top"/>
          </w:tcPr>
          <w:p>
            <w:r>
              <w:t>Dark-store picking, item shortages, substitutions and delivery exceptions.</w:t>
            </w:r>
          </w:p>
        </w:tc>
      </w:tr>
      <w:tr>
        <w:tc>
          <w:tcPr>
            <w:tcW w:type="dxa" w:w="5112"/>
            <w:vAlign w:val="top"/>
          </w:tcPr>
          <w:p>
            <w:r>
              <w:t>Fraud &amp; risk</w:t>
            </w:r>
          </w:p>
        </w:tc>
        <w:tc>
          <w:tcPr>
            <w:tcW w:type="dxa" w:w="5112"/>
            <w:vAlign w:val="top"/>
          </w:tcPr>
          <w:p>
            <w:r>
              <w:t>Risk policy, investigation, model monitoring and escalation.</w:t>
            </w:r>
          </w:p>
        </w:tc>
      </w:tr>
      <w:tr>
        <w:tc>
          <w:tcPr>
            <w:tcW w:type="dxa" w:w="5112"/>
            <w:vAlign w:val="top"/>
          </w:tcPr>
          <w:p>
            <w:r>
              <w:t>Product &amp; engineering</w:t>
            </w:r>
          </w:p>
        </w:tc>
        <w:tc>
          <w:tcPr>
            <w:tcW w:type="dxa" w:w="5112"/>
            <w:vAlign w:val="top"/>
          </w:tcPr>
          <w:p>
            <w:r>
              <w:t>APIs, integrations, workflow ownership and user experience.</w:t>
            </w:r>
          </w:p>
        </w:tc>
      </w:tr>
      <w:tr>
        <w:tc>
          <w:tcPr>
            <w:tcW w:type="dxa" w:w="5112"/>
            <w:vAlign w:val="top"/>
          </w:tcPr>
          <w:p>
            <w:r>
              <w:t>Data science / ML</w:t>
            </w:r>
          </w:p>
        </w:tc>
        <w:tc>
          <w:tcPr>
            <w:tcW w:type="dxa" w:w="5112"/>
            <w:vAlign w:val="top"/>
          </w:tcPr>
          <w:p>
            <w:r>
              <w:t>Training data, model evaluation, monitoring and drift/bias review.</w:t>
            </w:r>
          </w:p>
        </w:tc>
      </w:tr>
      <w:tr>
        <w:tc>
          <w:tcPr>
            <w:tcW w:type="dxa" w:w="5112"/>
            <w:vAlign w:val="top"/>
          </w:tcPr>
          <w:p>
            <w:r>
              <w:t>Legal, privacy &amp; compliance</w:t>
            </w:r>
          </w:p>
        </w:tc>
        <w:tc>
          <w:tcPr>
            <w:tcW w:type="dxa" w:w="5112"/>
            <w:vAlign w:val="top"/>
          </w:tcPr>
          <w:p>
            <w:r>
              <w:t>Consumer policy, data protection, audit and applicable obligations.</w:t>
            </w:r>
          </w:p>
        </w:tc>
      </w:tr>
    </w:tbl>
    <w:p>
      <w:pPr>
        <w:pStyle w:val="Heading1"/>
      </w:pPr>
      <w:r>
        <w:t>7. High-Level Business Process</w:t>
      </w:r>
    </w:p>
    <w:p>
      <w:pPr>
        <w:pStyle w:val="ListNumber"/>
      </w:pPr>
      <w:r>
        <w:t>Refund request initiation — capture request and supporting evidence.</w:t>
      </w:r>
    </w:p>
    <w:p>
      <w:pPr>
        <w:pStyle w:val="ListNumber"/>
      </w:pPr>
      <w:r>
        <w:t>Identity and transaction verification — confirm customer, order, payment and fulfilment context.</w:t>
      </w:r>
    </w:p>
    <w:p>
      <w:pPr>
        <w:pStyle w:val="ListNumber"/>
      </w:pPr>
      <w:r>
        <w:t>Policy and eligibility validation — apply approved policy and calculate the eligible amount.</w:t>
      </w:r>
    </w:p>
    <w:p>
      <w:pPr>
        <w:pStyle w:val="ListNumber"/>
      </w:pPr>
      <w:r>
        <w:t>Duplicate and financial checks — verify claims, reservations, refunds, reversals and remaining balance.</w:t>
      </w:r>
    </w:p>
    <w:p>
      <w:pPr>
        <w:pStyle w:val="ListNumber"/>
      </w:pPr>
      <w:r>
        <w:t>AI-assisted risk and evidence assessment — identify suspicious or ambiguous cases.</w:t>
      </w:r>
    </w:p>
    <w:p>
      <w:pPr>
        <w:pStyle w:val="ListNumber"/>
      </w:pPr>
      <w:r>
        <w:t>Decision and approval — auto-process only within approved policy and risk limits; otherwise route to an authorized reviewer.</w:t>
      </w:r>
    </w:p>
    <w:p>
      <w:pPr>
        <w:pStyle w:val="ListNumber"/>
      </w:pPr>
      <w:r>
        <w:t>Refund execution — submit a controlled, idempotent instruction to the relevant payment mechanism.</w:t>
      </w:r>
    </w:p>
    <w:p>
      <w:pPr>
        <w:pStyle w:val="ListNumber"/>
      </w:pPr>
      <w:r>
        <w:t>Settlement and reconciliation — match provider, settlement and ledger records; investigate exceptions.</w:t>
      </w:r>
    </w:p>
    <w:p>
      <w:pPr>
        <w:pStyle w:val="ListNumber"/>
      </w:pPr>
      <w:r>
        <w:t>Customer notification and closure — communicate verified status and close only after completion conditions are met.</w:t>
      </w:r>
    </w:p>
    <w:p>
      <w:pPr>
        <w:pStyle w:val="Heading1"/>
      </w:pPr>
      <w:r>
        <w:t>8. High-Level Business Requirements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tcPr>
          <w:p>
            <w:r>
              <w:rPr>
                <w:b/>
              </w:rPr>
              <w:t>ID</w:t>
            </w:r>
          </w:p>
        </w:tc>
        <w:tc>
          <w:tcPr>
            <w:tcW w:type="dxa" w:w="2556"/>
          </w:tcPr>
          <w:p>
            <w:r>
              <w:rPr>
                <w:b/>
              </w:rPr>
              <w:t>Requirement</w:t>
            </w:r>
          </w:p>
        </w:tc>
        <w:tc>
          <w:tcPr>
            <w:tcW w:type="dxa" w:w="2556"/>
          </w:tcPr>
          <w:p>
            <w:r>
              <w:rPr>
                <w:b/>
              </w:rPr>
              <w:t>Priority (proposed)</w:t>
            </w:r>
          </w:p>
        </w:tc>
        <w:tc>
          <w:tcPr>
            <w:tcW w:type="dxa" w:w="2556"/>
          </w:tcPr>
          <w:p>
            <w:r>
              <w:rPr>
                <w:b/>
              </w:rPr>
              <w:t>Acceptance evidence</w:t>
            </w:r>
          </w:p>
        </w:tc>
      </w:tr>
      <w:tr>
        <w:tc>
          <w:tcPr>
            <w:tcW w:type="dxa" w:w="2556"/>
            <w:vAlign w:val="top"/>
          </w:tcPr>
          <w:p>
            <w:r>
              <w:t>BR-01</w:t>
            </w:r>
          </w:p>
        </w:tc>
        <w:tc>
          <w:tcPr>
            <w:tcW w:type="dxa" w:w="2556"/>
            <w:vAlign w:val="top"/>
          </w:tcPr>
          <w:p>
            <w:r>
              <w:t>The system shall capture a refund request with order, item, quantity, reason, requested resolution and evidence.</w:t>
            </w:r>
          </w:p>
        </w:tc>
        <w:tc>
          <w:tcPr>
            <w:tcW w:type="dxa" w:w="2556"/>
            <w:vAlign w:val="top"/>
          </w:tcPr>
          <w:p>
            <w:r>
              <w:t>Must</w:t>
            </w:r>
          </w:p>
        </w:tc>
        <w:tc>
          <w:tcPr>
            <w:tcW w:type="dxa" w:w="2556"/>
            <w:vAlign w:val="top"/>
          </w:tcPr>
          <w:p>
            <w:r>
              <w:t>Required fields and supported channels agreed and demonstrated.</w:t>
            </w:r>
          </w:p>
        </w:tc>
      </w:tr>
      <w:tr>
        <w:tc>
          <w:tcPr>
            <w:tcW w:type="dxa" w:w="2556"/>
            <w:vAlign w:val="top"/>
          </w:tcPr>
          <w:p>
            <w:r>
              <w:t>BR-02</w:t>
            </w:r>
          </w:p>
        </w:tc>
        <w:tc>
          <w:tcPr>
            <w:tcW w:type="dxa" w:w="2556"/>
            <w:vAlign w:val="top"/>
          </w:tcPr>
          <w:p>
            <w:r>
              <w:t>The system shall verify order, payment, fulfilment and prior refund data before making a decision.</w:t>
            </w:r>
          </w:p>
        </w:tc>
        <w:tc>
          <w:tcPr>
            <w:tcW w:type="dxa" w:w="2556"/>
            <w:vAlign w:val="top"/>
          </w:tcPr>
          <w:p>
            <w:r>
              <w:t>Must</w:t>
            </w:r>
          </w:p>
        </w:tc>
        <w:tc>
          <w:tcPr>
            <w:tcW w:type="dxa" w:w="2556"/>
            <w:vAlign w:val="top"/>
          </w:tcPr>
          <w:p>
            <w:r>
              <w:t>Decision record shows the sources and verification outcome.</w:t>
            </w:r>
          </w:p>
        </w:tc>
      </w:tr>
      <w:tr>
        <w:tc>
          <w:tcPr>
            <w:tcW w:type="dxa" w:w="2556"/>
            <w:vAlign w:val="top"/>
          </w:tcPr>
          <w:p>
            <w:r>
              <w:t>BR-03</w:t>
            </w:r>
          </w:p>
        </w:tc>
        <w:tc>
          <w:tcPr>
            <w:tcW w:type="dxa" w:w="2556"/>
            <w:vAlign w:val="top"/>
          </w:tcPr>
          <w:p>
            <w:r>
              <w:t>The system shall apply approved policy rules to determine eligibility and maximum refundable amount.</w:t>
            </w:r>
          </w:p>
        </w:tc>
        <w:tc>
          <w:tcPr>
            <w:tcW w:type="dxa" w:w="2556"/>
            <w:vAlign w:val="top"/>
          </w:tcPr>
          <w:p>
            <w:r>
              <w:t>Must</w:t>
            </w:r>
          </w:p>
        </w:tc>
        <w:tc>
          <w:tcPr>
            <w:tcW w:type="dxa" w:w="2556"/>
            <w:vAlign w:val="top"/>
          </w:tcPr>
          <w:p>
            <w:r>
              <w:t>Finance/Legal-approved rules and test cases pass.</w:t>
            </w:r>
          </w:p>
        </w:tc>
      </w:tr>
      <w:tr>
        <w:tc>
          <w:tcPr>
            <w:tcW w:type="dxa" w:w="2556"/>
            <w:vAlign w:val="top"/>
          </w:tcPr>
          <w:p>
            <w:r>
              <w:t>BR-04</w:t>
            </w:r>
          </w:p>
        </w:tc>
        <w:tc>
          <w:tcPr>
            <w:tcW w:type="dxa" w:w="2556"/>
            <w:vAlign w:val="top"/>
          </w:tcPr>
          <w:p>
            <w:r>
              <w:t>The system shall prevent duplicate claims and refund execution, including concurrent requests.</w:t>
            </w:r>
          </w:p>
        </w:tc>
        <w:tc>
          <w:tcPr>
            <w:tcW w:type="dxa" w:w="2556"/>
            <w:vAlign w:val="top"/>
          </w:tcPr>
          <w:p>
            <w:r>
              <w:t>Must</w:t>
            </w:r>
          </w:p>
        </w:tc>
        <w:tc>
          <w:tcPr>
            <w:tcW w:type="dxa" w:w="2556"/>
            <w:vAlign w:val="top"/>
          </w:tcPr>
          <w:p>
            <w:r>
              <w:t>Duplicate/concurrency tests show no excess payment.</w:t>
            </w:r>
          </w:p>
        </w:tc>
      </w:tr>
      <w:tr>
        <w:tc>
          <w:tcPr>
            <w:tcW w:type="dxa" w:w="2556"/>
            <w:vAlign w:val="top"/>
          </w:tcPr>
          <w:p>
            <w:r>
              <w:t>BR-05</w:t>
            </w:r>
          </w:p>
        </w:tc>
        <w:tc>
          <w:tcPr>
            <w:tcW w:type="dxa" w:w="2556"/>
            <w:vAlign w:val="top"/>
          </w:tcPr>
          <w:p>
            <w:r>
              <w:t>The system shall assess risk and route high-risk, ambiguous or exception cases for human review.</w:t>
            </w:r>
          </w:p>
        </w:tc>
        <w:tc>
          <w:tcPr>
            <w:tcW w:type="dxa" w:w="2556"/>
            <w:vAlign w:val="top"/>
          </w:tcPr>
          <w:p>
            <w:r>
              <w:t>Must</w:t>
            </w:r>
          </w:p>
        </w:tc>
        <w:tc>
          <w:tcPr>
            <w:tcW w:type="dxa" w:w="2556"/>
            <w:vAlign w:val="top"/>
          </w:tcPr>
          <w:p>
            <w:r>
              <w:t>Risk threshold, queue owner and escalation path approved.</w:t>
            </w:r>
          </w:p>
        </w:tc>
      </w:tr>
      <w:tr>
        <w:tc>
          <w:tcPr>
            <w:tcW w:type="dxa" w:w="2556"/>
            <w:vAlign w:val="top"/>
          </w:tcPr>
          <w:p>
            <w:r>
              <w:t>BR-06</w:t>
            </w:r>
          </w:p>
        </w:tc>
        <w:tc>
          <w:tcPr>
            <w:tcW w:type="dxa" w:w="2556"/>
            <w:vAlign w:val="top"/>
          </w:tcPr>
          <w:p>
            <w:r>
              <w:t>The system shall execute approved refunds through agreed payment integrations with transaction controls.</w:t>
            </w:r>
          </w:p>
        </w:tc>
        <w:tc>
          <w:tcPr>
            <w:tcW w:type="dxa" w:w="2556"/>
            <w:vAlign w:val="top"/>
          </w:tcPr>
          <w:p>
            <w:r>
              <w:t>Must</w:t>
            </w:r>
          </w:p>
        </w:tc>
        <w:tc>
          <w:tcPr>
            <w:tcW w:type="dxa" w:w="2556"/>
            <w:vAlign w:val="top"/>
          </w:tcPr>
          <w:p>
            <w:r>
              <w:t>Successful, failed, timed-out and retried executions are handled safely.</w:t>
            </w:r>
          </w:p>
        </w:tc>
      </w:tr>
      <w:tr>
        <w:tc>
          <w:tcPr>
            <w:tcW w:type="dxa" w:w="2556"/>
            <w:vAlign w:val="top"/>
          </w:tcPr>
          <w:p>
            <w:r>
              <w:t>BR-07</w:t>
            </w:r>
          </w:p>
        </w:tc>
        <w:tc>
          <w:tcPr>
            <w:tcW w:type="dxa" w:w="2556"/>
            <w:vAlign w:val="top"/>
          </w:tcPr>
          <w:p>
            <w:r>
              <w:t>The system shall reconcile refund instructions with provider, settlement and ledger records.</w:t>
            </w:r>
          </w:p>
        </w:tc>
        <w:tc>
          <w:tcPr>
            <w:tcW w:type="dxa" w:w="2556"/>
            <w:vAlign w:val="top"/>
          </w:tcPr>
          <w:p>
            <w:r>
              <w:t>Must</w:t>
            </w:r>
          </w:p>
        </w:tc>
        <w:tc>
          <w:tcPr>
            <w:tcW w:type="dxa" w:w="2556"/>
            <w:vAlign w:val="top"/>
          </w:tcPr>
          <w:p>
            <w:r>
              <w:t>Matched and unmatched cases are reported and traceable.</w:t>
            </w:r>
          </w:p>
        </w:tc>
      </w:tr>
      <w:tr>
        <w:tc>
          <w:tcPr>
            <w:tcW w:type="dxa" w:w="2556"/>
            <w:vAlign w:val="top"/>
          </w:tcPr>
          <w:p>
            <w:r>
              <w:t>BR-08</w:t>
            </w:r>
          </w:p>
        </w:tc>
        <w:tc>
          <w:tcPr>
            <w:tcW w:type="dxa" w:w="2556"/>
            <w:vAlign w:val="top"/>
          </w:tcPr>
          <w:p>
            <w:r>
              <w:t>The system shall communicate accurate refund statuses without promising an unverified settlement date.</w:t>
            </w:r>
          </w:p>
        </w:tc>
        <w:tc>
          <w:tcPr>
            <w:tcW w:type="dxa" w:w="2556"/>
            <w:vAlign w:val="top"/>
          </w:tcPr>
          <w:p>
            <w:r>
              <w:t>Must</w:t>
            </w:r>
          </w:p>
        </w:tc>
        <w:tc>
          <w:tcPr>
            <w:tcW w:type="dxa" w:w="2556"/>
            <w:vAlign w:val="top"/>
          </w:tcPr>
          <w:p>
            <w:r>
              <w:t>Templates and status definitions approved.</w:t>
            </w:r>
          </w:p>
        </w:tc>
      </w:tr>
      <w:tr>
        <w:tc>
          <w:tcPr>
            <w:tcW w:type="dxa" w:w="2556"/>
            <w:vAlign w:val="top"/>
          </w:tcPr>
          <w:p>
            <w:r>
              <w:t>BR-09</w:t>
            </w:r>
          </w:p>
        </w:tc>
        <w:tc>
          <w:tcPr>
            <w:tcW w:type="dxa" w:w="2556"/>
            <w:vAlign w:val="top"/>
          </w:tcPr>
          <w:p>
            <w:r>
              <w:t>The system shall maintain an auditable record of evidence, rules, decisions, approvals and financial events.</w:t>
            </w:r>
          </w:p>
        </w:tc>
        <w:tc>
          <w:tcPr>
            <w:tcW w:type="dxa" w:w="2556"/>
            <w:vAlign w:val="top"/>
          </w:tcPr>
          <w:p>
            <w:r>
              <w:t>Must</w:t>
            </w:r>
          </w:p>
        </w:tc>
        <w:tc>
          <w:tcPr>
            <w:tcW w:type="dxa" w:w="2556"/>
            <w:vAlign w:val="top"/>
          </w:tcPr>
          <w:p>
            <w:r>
              <w:t>Authorized users can trace a case end to end.</w:t>
            </w:r>
          </w:p>
        </w:tc>
      </w:tr>
      <w:tr>
        <w:tc>
          <w:tcPr>
            <w:tcW w:type="dxa" w:w="2556"/>
            <w:vAlign w:val="top"/>
          </w:tcPr>
          <w:p>
            <w:r>
              <w:t>BR-10</w:t>
            </w:r>
          </w:p>
        </w:tc>
        <w:tc>
          <w:tcPr>
            <w:tcW w:type="dxa" w:w="2556"/>
            <w:vAlign w:val="top"/>
          </w:tcPr>
          <w:p>
            <w:r>
              <w:t>The system shall provide agreed operational metrics and exception reporting.</w:t>
            </w:r>
          </w:p>
        </w:tc>
        <w:tc>
          <w:tcPr>
            <w:tcW w:type="dxa" w:w="2556"/>
            <w:vAlign w:val="top"/>
          </w:tcPr>
          <w:p>
            <w:r>
              <w:t>Should</w:t>
            </w:r>
          </w:p>
        </w:tc>
        <w:tc>
          <w:tcPr>
            <w:tcW w:type="dxa" w:w="2556"/>
            <w:vAlign w:val="top"/>
          </w:tcPr>
          <w:p>
            <w:r>
              <w:t>Dashboard/report definitions and owners agreed.</w:t>
            </w:r>
          </w:p>
        </w:tc>
      </w:tr>
      <w:tr>
        <w:tc>
          <w:tcPr>
            <w:tcW w:type="dxa" w:w="2556"/>
            <w:vAlign w:val="top"/>
          </w:tcPr>
          <w:p>
            <w:r>
              <w:t>BR-11</w:t>
            </w:r>
          </w:p>
        </w:tc>
        <w:tc>
          <w:tcPr>
            <w:tcW w:type="dxa" w:w="2556"/>
            <w:vAlign w:val="top"/>
          </w:tcPr>
          <w:p>
            <w:r>
              <w:t>AI model performance, bias, drift and customer impact shall be monitored.</w:t>
            </w:r>
          </w:p>
        </w:tc>
        <w:tc>
          <w:tcPr>
            <w:tcW w:type="dxa" w:w="2556"/>
            <w:vAlign w:val="top"/>
          </w:tcPr>
          <w:p>
            <w:r>
              <w:t>Must for AI rollout</w:t>
            </w:r>
          </w:p>
        </w:tc>
        <w:tc>
          <w:tcPr>
            <w:tcW w:type="dxa" w:w="2556"/>
            <w:vAlign w:val="top"/>
          </w:tcPr>
          <w:p>
            <w:r>
              <w:t>Monitoring owner, thresholds and review cadence agreed.</w:t>
            </w:r>
          </w:p>
        </w:tc>
      </w:tr>
    </w:tbl>
    <w:p>
      <w:pPr>
        <w:pStyle w:val="Heading1"/>
      </w:pPr>
      <w:r>
        <w:t>9. Business Rules Requiring Customer Confirmation</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Rule area</w:t>
            </w:r>
          </w:p>
        </w:tc>
        <w:tc>
          <w:tcPr>
            <w:tcW w:type="dxa" w:w="5112"/>
          </w:tcPr>
          <w:p>
            <w:r>
              <w:rPr>
                <w:b/>
              </w:rPr>
              <w:t>Questions / decisions required</w:t>
            </w:r>
          </w:p>
        </w:tc>
      </w:tr>
      <w:tr>
        <w:tc>
          <w:tcPr>
            <w:tcW w:type="dxa" w:w="5112"/>
            <w:vAlign w:val="top"/>
          </w:tcPr>
          <w:p>
            <w:r>
              <w:t>Eligibility</w:t>
            </w:r>
          </w:p>
        </w:tc>
        <w:tc>
          <w:tcPr>
            <w:tcW w:type="dxa" w:w="5112"/>
            <w:vAlign w:val="top"/>
          </w:tcPr>
          <w:p>
            <w:r>
              <w:t>Which reasons and product categories are refundable? What are the claim windows? Are there non-returnable items?</w:t>
            </w:r>
          </w:p>
        </w:tc>
      </w:tr>
      <w:tr>
        <w:tc>
          <w:tcPr>
            <w:tcW w:type="dxa" w:w="5112"/>
            <w:vAlign w:val="top"/>
          </w:tcPr>
          <w:p>
            <w:r>
              <w:t>Amount calculation</w:t>
            </w:r>
          </w:p>
        </w:tc>
        <w:tc>
          <w:tcPr>
            <w:tcW w:type="dxa" w:w="5112"/>
            <w:vAlign w:val="top"/>
          </w:tcPr>
          <w:p>
            <w:r>
              <w:t>How are item-level discounts, coupons, taxes, shipping fees, wallet credits, promotions and seller settlement allocated?</w:t>
            </w:r>
          </w:p>
        </w:tc>
      </w:tr>
      <w:tr>
        <w:tc>
          <w:tcPr>
            <w:tcW w:type="dxa" w:w="5112"/>
            <w:vAlign w:val="top"/>
          </w:tcPr>
          <w:p>
            <w:r>
              <w:t>Evidence</w:t>
            </w:r>
          </w:p>
        </w:tc>
        <w:tc>
          <w:tcPr>
            <w:tcW w:type="dxa" w:w="5112"/>
            <w:vAlign w:val="top"/>
          </w:tcPr>
          <w:p>
            <w:r>
              <w:t>Which evidence is mandatory for missing items, damaged electronics, spoiled produce and returns?</w:t>
            </w:r>
          </w:p>
        </w:tc>
      </w:tr>
      <w:tr>
        <w:tc>
          <w:tcPr>
            <w:tcW w:type="dxa" w:w="5112"/>
            <w:vAlign w:val="top"/>
          </w:tcPr>
          <w:p>
            <w:r>
              <w:t>Approval</w:t>
            </w:r>
          </w:p>
        </w:tc>
        <w:tc>
          <w:tcPr>
            <w:tcW w:type="dxa" w:w="5112"/>
            <w:vAlign w:val="top"/>
          </w:tcPr>
          <w:p>
            <w:r>
              <w:t>What refund-value thresholds, risk bands and approval roles apply? Can an approver override a decision, and how is it recorded?</w:t>
            </w:r>
          </w:p>
        </w:tc>
      </w:tr>
      <w:tr>
        <w:tc>
          <w:tcPr>
            <w:tcW w:type="dxa" w:w="5112"/>
            <w:vAlign w:val="top"/>
          </w:tcPr>
          <w:p>
            <w:r>
              <w:t>Duplicate protection</w:t>
            </w:r>
          </w:p>
        </w:tc>
        <w:tc>
          <w:tcPr>
            <w:tcW w:type="dxa" w:w="5112"/>
            <w:vAlign w:val="top"/>
          </w:tcPr>
          <w:p>
            <w:r>
              <w:t>What defines a duplicate across order, item, customer, payment reference and time window? How are in-flight refunds reserved?</w:t>
            </w:r>
          </w:p>
        </w:tc>
      </w:tr>
      <w:tr>
        <w:tc>
          <w:tcPr>
            <w:tcW w:type="dxa" w:w="5112"/>
            <w:vAlign w:val="top"/>
          </w:tcPr>
          <w:p>
            <w:r>
              <w:t>Failed payment</w:t>
            </w:r>
          </w:p>
        </w:tc>
        <w:tc>
          <w:tcPr>
            <w:tcW w:type="dxa" w:w="5112"/>
            <w:vAlign w:val="top"/>
          </w:tcPr>
          <w:p>
            <w:r>
              <w:t>How should the system distinguish an authorization, capture, reversal, refund and settled transaction?</w:t>
            </w:r>
          </w:p>
        </w:tc>
      </w:tr>
      <w:tr>
        <w:tc>
          <w:tcPr>
            <w:tcW w:type="dxa" w:w="5112"/>
            <w:vAlign w:val="top"/>
          </w:tcPr>
          <w:p>
            <w:r>
              <w:t>Returns</w:t>
            </w:r>
          </w:p>
        </w:tc>
        <w:tc>
          <w:tcPr>
            <w:tcW w:type="dxa" w:w="5112"/>
            <w:vAlign w:val="top"/>
          </w:tcPr>
          <w:p>
            <w:r>
              <w:t>When is pickup, receipt or inspection required before refund release?</w:t>
            </w:r>
          </w:p>
        </w:tc>
      </w:tr>
      <w:tr>
        <w:tc>
          <w:tcPr>
            <w:tcW w:type="dxa" w:w="5112"/>
            <w:vAlign w:val="top"/>
          </w:tcPr>
          <w:p>
            <w:r>
              <w:t>Risk model</w:t>
            </w:r>
          </w:p>
        </w:tc>
        <w:tc>
          <w:tcPr>
            <w:tcW w:type="dxa" w:w="5112"/>
            <w:vAlign w:val="top"/>
          </w:tcPr>
          <w:p>
            <w:r>
              <w:t>What signals may be used, what data is permitted, what is the false-positive tolerance, and who handles appeals?</w:t>
            </w:r>
          </w:p>
        </w:tc>
      </w:tr>
      <w:tr>
        <w:tc>
          <w:tcPr>
            <w:tcW w:type="dxa" w:w="5112"/>
            <w:vAlign w:val="top"/>
          </w:tcPr>
          <w:p>
            <w:r>
              <w:t>Reconciliation</w:t>
            </w:r>
          </w:p>
        </w:tc>
        <w:tc>
          <w:tcPr>
            <w:tcW w:type="dxa" w:w="5112"/>
            <w:vAlign w:val="top"/>
          </w:tcPr>
          <w:p>
            <w:r>
              <w:t>What are the matching keys, reconciliation frequency, exception ageing limits and retry/repair permissions?</w:t>
            </w:r>
          </w:p>
        </w:tc>
      </w:tr>
      <w:tr>
        <w:tc>
          <w:tcPr>
            <w:tcW w:type="dxa" w:w="5112"/>
            <w:vAlign w:val="top"/>
          </w:tcPr>
          <w:p>
            <w:r>
              <w:t>Closure</w:t>
            </w:r>
          </w:p>
        </w:tc>
        <w:tc>
          <w:tcPr>
            <w:tcW w:type="dxa" w:w="5112"/>
            <w:vAlign w:val="top"/>
          </w:tcPr>
          <w:p>
            <w:r>
              <w:t>What exact provider/ledger conditions constitute a completed refund?</w:t>
            </w:r>
          </w:p>
        </w:tc>
      </w:tr>
    </w:tbl>
    <w:p>
      <w:pPr>
        <w:pStyle w:val="Heading1"/>
      </w:pPr>
      <w:r>
        <w:t>10. Non-Functional Requirements — To Be Agreed</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Discovery requirement</w:t>
            </w:r>
          </w:p>
        </w:tc>
      </w:tr>
      <w:tr>
        <w:tc>
          <w:tcPr>
            <w:tcW w:type="dxa" w:w="5112"/>
            <w:vAlign w:val="top"/>
          </w:tcPr>
          <w:p>
            <w:r>
              <w:t>Volume &amp; scalability</w:t>
            </w:r>
          </w:p>
        </w:tc>
        <w:tc>
          <w:tcPr>
            <w:tcW w:type="dxa" w:w="5112"/>
            <w:vAlign w:val="top"/>
          </w:tcPr>
          <w:p>
            <w:r>
              <w:t>Daily/peak refund volumes, concurrent requests, seasonal peaks and expected growth.</w:t>
            </w:r>
          </w:p>
        </w:tc>
      </w:tr>
      <w:tr>
        <w:tc>
          <w:tcPr>
            <w:tcW w:type="dxa" w:w="5112"/>
            <w:vAlign w:val="top"/>
          </w:tcPr>
          <w:p>
            <w:r>
              <w:t>Performance</w:t>
            </w:r>
          </w:p>
        </w:tc>
        <w:tc>
          <w:tcPr>
            <w:tcW w:type="dxa" w:w="5112"/>
            <w:vAlign w:val="top"/>
          </w:tcPr>
          <w:p>
            <w:r>
              <w:t>Response-time targets for eligibility checks, decisioning, status updates and batch reconciliation.</w:t>
            </w:r>
          </w:p>
        </w:tc>
      </w:tr>
      <w:tr>
        <w:tc>
          <w:tcPr>
            <w:tcW w:type="dxa" w:w="5112"/>
            <w:vAlign w:val="top"/>
          </w:tcPr>
          <w:p>
            <w:r>
              <w:t>Availability &amp; recovery</w:t>
            </w:r>
          </w:p>
        </w:tc>
        <w:tc>
          <w:tcPr>
            <w:tcW w:type="dxa" w:w="5112"/>
            <w:vAlign w:val="top"/>
          </w:tcPr>
          <w:p>
            <w:r>
              <w:t>Required service availability, recovery time/objectives, backup and disaster-recovery expectations.</w:t>
            </w:r>
          </w:p>
        </w:tc>
      </w:tr>
      <w:tr>
        <w:tc>
          <w:tcPr>
            <w:tcW w:type="dxa" w:w="5112"/>
            <w:vAlign w:val="top"/>
          </w:tcPr>
          <w:p>
            <w:r>
              <w:t>Security &amp; privacy</w:t>
            </w:r>
          </w:p>
        </w:tc>
        <w:tc>
          <w:tcPr>
            <w:tcW w:type="dxa" w:w="5112"/>
            <w:vAlign w:val="top"/>
          </w:tcPr>
          <w:p>
            <w:r>
              <w:t>Authentication, role-based access, encryption, retention, masking, consent and data residency needs.</w:t>
            </w:r>
          </w:p>
        </w:tc>
      </w:tr>
      <w:tr>
        <w:tc>
          <w:tcPr>
            <w:tcW w:type="dxa" w:w="5112"/>
            <w:vAlign w:val="top"/>
          </w:tcPr>
          <w:p>
            <w:r>
              <w:t>Auditability</w:t>
            </w:r>
          </w:p>
        </w:tc>
        <w:tc>
          <w:tcPr>
            <w:tcW w:type="dxa" w:w="5112"/>
            <w:vAlign w:val="top"/>
          </w:tcPr>
          <w:p>
            <w:r>
              <w:t>Required audit fields, retention period, tamper resistance and access to evidence.</w:t>
            </w:r>
          </w:p>
        </w:tc>
      </w:tr>
      <w:tr>
        <w:tc>
          <w:tcPr>
            <w:tcW w:type="dxa" w:w="5112"/>
            <w:vAlign w:val="top"/>
          </w:tcPr>
          <w:p>
            <w:r>
              <w:t>Integration resilience</w:t>
            </w:r>
          </w:p>
        </w:tc>
        <w:tc>
          <w:tcPr>
            <w:tcW w:type="dxa" w:w="5112"/>
            <w:vAlign w:val="top"/>
          </w:tcPr>
          <w:p>
            <w:r>
              <w:t>Timeouts, retries, idempotency, provider outages, dead-letter/exception handling and replay controls.</w:t>
            </w:r>
          </w:p>
        </w:tc>
      </w:tr>
      <w:tr>
        <w:tc>
          <w:tcPr>
            <w:tcW w:type="dxa" w:w="5112"/>
            <w:vAlign w:val="top"/>
          </w:tcPr>
          <w:p>
            <w:r>
              <w:t>AI governance</w:t>
            </w:r>
          </w:p>
        </w:tc>
        <w:tc>
          <w:tcPr>
            <w:tcW w:type="dxa" w:w="5112"/>
            <w:vAlign w:val="top"/>
          </w:tcPr>
          <w:p>
            <w:r>
              <w:t>Model explainability, evaluation metrics, bias/drift monitoring, human override and version history.</w:t>
            </w:r>
          </w:p>
        </w:tc>
      </w:tr>
    </w:tbl>
    <w:p>
      <w:pPr>
        <w:pStyle w:val="Heading1"/>
      </w:pPr>
      <w:r>
        <w:t>11. KPIs and Success Measures</w:t>
      </w:r>
    </w:p>
    <w:p>
      <w:r>
        <w:t>The source profile gives illustrative initial targets. Confirm the baseline, measurement method, owner and target period before treating any number as committed.</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rPr>
                <w:b/>
              </w:rPr>
              <w:t>KPI</w:t>
            </w:r>
          </w:p>
        </w:tc>
        <w:tc>
          <w:tcPr>
            <w:tcW w:type="dxa" w:w="3408"/>
          </w:tcPr>
          <w:p>
            <w:r>
              <w:rPr>
                <w:b/>
              </w:rPr>
              <w:t>Definition</w:t>
            </w:r>
          </w:p>
        </w:tc>
        <w:tc>
          <w:tcPr>
            <w:tcW w:type="dxa" w:w="3408"/>
          </w:tcPr>
          <w:p>
            <w:r>
              <w:rPr>
                <w:b/>
              </w:rPr>
              <w:t>Illustrative target in source profile</w:t>
            </w:r>
          </w:p>
        </w:tc>
      </w:tr>
      <w:tr>
        <w:tc>
          <w:tcPr>
            <w:tcW w:type="dxa" w:w="3408"/>
            <w:vAlign w:val="top"/>
          </w:tcPr>
          <w:p>
            <w:r>
              <w:t>Straight-through processing</w:t>
            </w:r>
          </w:p>
        </w:tc>
        <w:tc>
          <w:tcPr>
            <w:tcW w:type="dxa" w:w="3408"/>
            <w:vAlign w:val="top"/>
          </w:tcPr>
          <w:p>
            <w:r>
              <w:t>Eligible refunds completed without manual intervention / eligible requests</w:t>
            </w:r>
          </w:p>
        </w:tc>
        <w:tc>
          <w:tcPr>
            <w:tcW w:type="dxa" w:w="3408"/>
            <w:vAlign w:val="top"/>
          </w:tcPr>
          <w:p>
            <w:r>
              <w:t>60–80%</w:t>
            </w:r>
          </w:p>
        </w:tc>
      </w:tr>
      <w:tr>
        <w:tc>
          <w:tcPr>
            <w:tcW w:type="dxa" w:w="3408"/>
            <w:vAlign w:val="top"/>
          </w:tcPr>
          <w:p>
            <w:r>
              <w:t>Refund turnaround time</w:t>
            </w:r>
          </w:p>
        </w:tc>
        <w:tc>
          <w:tcPr>
            <w:tcW w:type="dxa" w:w="3408"/>
            <w:vAlign w:val="top"/>
          </w:tcPr>
          <w:p>
            <w:r>
              <w:t>Time from request creation to agreed completion milestone</w:t>
            </w:r>
          </w:p>
        </w:tc>
        <w:tc>
          <w:tcPr>
            <w:tcW w:type="dxa" w:w="3408"/>
            <w:vAlign w:val="top"/>
          </w:tcPr>
          <w:p>
            <w:r>
              <w:t>Reduce by 30–50%</w:t>
            </w:r>
          </w:p>
        </w:tc>
      </w:tr>
      <w:tr>
        <w:tc>
          <w:tcPr>
            <w:tcW w:type="dxa" w:w="3408"/>
            <w:vAlign w:val="top"/>
          </w:tcPr>
          <w:p>
            <w:r>
              <w:t>Duplicate refund rate</w:t>
            </w:r>
          </w:p>
        </w:tc>
        <w:tc>
          <w:tcPr>
            <w:tcW w:type="dxa" w:w="3408"/>
            <w:vAlign w:val="top"/>
          </w:tcPr>
          <w:p>
            <w:r>
              <w:t>Confirmed duplicate refunds / completed refunds</w:t>
            </w:r>
          </w:p>
        </w:tc>
        <w:tc>
          <w:tcPr>
            <w:tcW w:type="dxa" w:w="3408"/>
            <w:vAlign w:val="top"/>
          </w:tcPr>
          <w:p>
            <w:r>
              <w:t>Near zero</w:t>
            </w:r>
          </w:p>
        </w:tc>
      </w:tr>
      <w:tr>
        <w:tc>
          <w:tcPr>
            <w:tcW w:type="dxa" w:w="3408"/>
            <w:vAlign w:val="top"/>
          </w:tcPr>
          <w:p>
            <w:r>
              <w:t>Refund accuracy</w:t>
            </w:r>
          </w:p>
        </w:tc>
        <w:tc>
          <w:tcPr>
            <w:tcW w:type="dxa" w:w="3408"/>
            <w:vAlign w:val="top"/>
          </w:tcPr>
          <w:p>
            <w:r>
              <w:t>Refunds with correct policy, amount and transaction outcome</w:t>
            </w:r>
          </w:p>
        </w:tc>
        <w:tc>
          <w:tcPr>
            <w:tcW w:type="dxa" w:w="3408"/>
            <w:vAlign w:val="top"/>
          </w:tcPr>
          <w:p>
            <w:r>
              <w:t>At least 99.5%</w:t>
            </w:r>
          </w:p>
        </w:tc>
      </w:tr>
      <w:tr>
        <w:tc>
          <w:tcPr>
            <w:tcW w:type="dxa" w:w="3408"/>
            <w:vAlign w:val="top"/>
          </w:tcPr>
          <w:p>
            <w:r>
              <w:t>Reconciliation rate</w:t>
            </w:r>
          </w:p>
        </w:tc>
        <w:tc>
          <w:tcPr>
            <w:tcW w:type="dxa" w:w="3408"/>
            <w:vAlign w:val="top"/>
          </w:tcPr>
          <w:p>
            <w:r>
              <w:t>Refund transactions reconciled within agreed SLA / transactions due</w:t>
            </w:r>
          </w:p>
        </w:tc>
        <w:tc>
          <w:tcPr>
            <w:tcW w:type="dxa" w:w="3408"/>
            <w:vAlign w:val="top"/>
          </w:tcPr>
          <w:p>
            <w:r>
              <w:t>At least 99%</w:t>
            </w:r>
          </w:p>
        </w:tc>
      </w:tr>
      <w:tr>
        <w:tc>
          <w:tcPr>
            <w:tcW w:type="dxa" w:w="3408"/>
            <w:vAlign w:val="top"/>
          </w:tcPr>
          <w:p>
            <w:r>
              <w:t>Fraud loss rate</w:t>
            </w:r>
          </w:p>
        </w:tc>
        <w:tc>
          <w:tcPr>
            <w:tcW w:type="dxa" w:w="3408"/>
            <w:vAlign w:val="top"/>
          </w:tcPr>
          <w:p>
            <w:r>
              <w:t>Confirmed fraudulent refund losses against agreed denominator</w:t>
            </w:r>
          </w:p>
        </w:tc>
        <w:tc>
          <w:tcPr>
            <w:tcW w:type="dxa" w:w="3408"/>
            <w:vAlign w:val="top"/>
          </w:tcPr>
          <w:p>
            <w:r>
              <w:t>Reduce against baseline</w:t>
            </w:r>
          </w:p>
        </w:tc>
      </w:tr>
      <w:tr>
        <w:tc>
          <w:tcPr>
            <w:tcW w:type="dxa" w:w="3408"/>
            <w:vAlign w:val="top"/>
          </w:tcPr>
          <w:p>
            <w:r>
              <w:t>Manual review rate</w:t>
            </w:r>
          </w:p>
        </w:tc>
        <w:tc>
          <w:tcPr>
            <w:tcW w:type="dxa" w:w="3408"/>
            <w:vAlign w:val="top"/>
          </w:tcPr>
          <w:p>
            <w:r>
              <w:t>Requests routed to human review / total requests</w:t>
            </w:r>
          </w:p>
        </w:tc>
        <w:tc>
          <w:tcPr>
            <w:tcW w:type="dxa" w:w="3408"/>
            <w:vAlign w:val="top"/>
          </w:tcPr>
          <w:p>
            <w:r>
              <w:t>Establish baseline; optimize safely</w:t>
            </w:r>
          </w:p>
        </w:tc>
      </w:tr>
      <w:tr>
        <w:tc>
          <w:tcPr>
            <w:tcW w:type="dxa" w:w="3408"/>
            <w:vAlign w:val="top"/>
          </w:tcPr>
          <w:p>
            <w:r>
              <w:t>Customer contact rate</w:t>
            </w:r>
          </w:p>
        </w:tc>
        <w:tc>
          <w:tcPr>
            <w:tcW w:type="dxa" w:w="3408"/>
            <w:vAlign w:val="top"/>
          </w:tcPr>
          <w:p>
            <w:r>
              <w:t>Refund-related support contacts per 1,000 orders</w:t>
            </w:r>
          </w:p>
        </w:tc>
        <w:tc>
          <w:tcPr>
            <w:tcW w:type="dxa" w:w="3408"/>
            <w:vAlign w:val="top"/>
          </w:tcPr>
          <w:p>
            <w:r>
              <w:t>Reduce against baseline</w:t>
            </w:r>
          </w:p>
        </w:tc>
      </w:tr>
    </w:tbl>
    <w:p>
      <w:pPr>
        <w:pStyle w:val="Heading1"/>
      </w:pPr>
      <w:r>
        <w:t>12. Assumptions, Dependencies and Risks</w:t>
      </w:r>
    </w:p>
    <w:p>
      <w:pPr>
        <w:pStyle w:val="ListBullet"/>
      </w:pPr>
      <w:r>
        <w:t>Order, payment, fulfilment, policy and finance data can be accessed through approved interfaces; this must be validated.</w:t>
      </w:r>
    </w:p>
    <w:p>
      <w:pPr>
        <w:pStyle w:val="ListBullet"/>
      </w:pPr>
      <w:r>
        <w:t>Finance and Legal own approval of refund allocation and policy rules.</w:t>
      </w:r>
    </w:p>
    <w:p>
      <w:pPr>
        <w:pStyle w:val="ListBullet"/>
      </w:pPr>
      <w:r>
        <w:t>Operations will provide named owners for queues, escalations and exception resolution.</w:t>
      </w:r>
    </w:p>
    <w:p>
      <w:pPr>
        <w:pStyle w:val="ListBullet"/>
      </w:pPr>
      <w:r>
        <w:t>AI is advisory for risk/evidence interpretation; deterministic rules and financial controls remain authoritative.</w:t>
      </w:r>
    </w:p>
    <w:p>
      <w:pPr>
        <w:pStyle w:val="ListBullet"/>
      </w:pPr>
      <w:r>
        <w:t>Data quality, missing events, provider delays and inconsistent identifiers may reduce automation rates.</w:t>
      </w:r>
    </w:p>
    <w:p>
      <w:pPr>
        <w:pStyle w:val="ListBullet"/>
      </w:pPr>
      <w:r>
        <w:t>Risk of false positives, unfair customer outcomes, duplicate execution, inaccurate customer promises and unreconciled ledger entries must be mitigated.</w:t>
      </w:r>
    </w:p>
    <w:p>
      <w:pPr>
        <w:pStyle w:val="Heading1"/>
      </w:pPr>
      <w:r>
        <w:t>13. Open Questions and Decisions Log</w:t>
      </w:r>
    </w:p>
    <w:tbl>
      <w:tblPr>
        <w:tblStyle w:val="LightShading-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Question / decision</w:t>
            </w:r>
          </w:p>
        </w:tc>
        <w:tc>
          <w:tcPr>
            <w:tcW w:type="dxa" w:w="2045"/>
          </w:tcPr>
          <w:p>
            <w:r>
              <w:rPr>
                <w:b/>
              </w:rPr>
              <w:t>Owner</w:t>
            </w:r>
          </w:p>
        </w:tc>
        <w:tc>
          <w:tcPr>
            <w:tcW w:type="dxa" w:w="2045"/>
          </w:tcPr>
          <w:p>
            <w:r>
              <w:rPr>
                <w:b/>
              </w:rPr>
              <w:t>Due date</w:t>
            </w:r>
          </w:p>
        </w:tc>
        <w:tc>
          <w:tcPr>
            <w:tcW w:type="dxa" w:w="2045"/>
          </w:tcPr>
          <w:p>
            <w:r>
              <w:rPr>
                <w:b/>
              </w:rPr>
              <w:t>Status</w:t>
            </w:r>
          </w:p>
        </w:tc>
      </w:tr>
      <w:tr>
        <w:tc>
          <w:tcPr>
            <w:tcW w:type="dxa" w:w="2045"/>
            <w:vAlign w:val="top"/>
          </w:tcPr>
          <w:p>
            <w:r>
              <w:t>OQ-01</w:t>
            </w:r>
          </w:p>
        </w:tc>
        <w:tc>
          <w:tcPr>
            <w:tcW w:type="dxa" w:w="2045"/>
            <w:vAlign w:val="top"/>
          </w:tcPr>
          <w:p>
            <w:r>
              <w:t>Which refund scenarios and channels are included in the first release?</w:t>
            </w:r>
          </w:p>
        </w:tc>
        <w:tc>
          <w:tcPr>
            <w:tcW w:type="dxa" w:w="2045"/>
            <w:vAlign w:val="top"/>
          </w:tcPr>
          <w:p>
            <w:r>
              <w:t>Business owner</w:t>
            </w:r>
          </w:p>
        </w:tc>
        <w:tc>
          <w:tcPr>
            <w:tcW w:type="dxa" w:w="2045"/>
            <w:vAlign w:val="top"/>
          </w:tcPr>
          <w:p>
            <w:r>
              <w:t>TBD</w:t>
            </w:r>
          </w:p>
        </w:tc>
        <w:tc>
          <w:tcPr>
            <w:tcW w:type="dxa" w:w="2045"/>
            <w:vAlign w:val="top"/>
          </w:tcPr>
          <w:p>
            <w:r>
              <w:t>Open</w:t>
            </w:r>
          </w:p>
        </w:tc>
      </w:tr>
      <w:tr>
        <w:tc>
          <w:tcPr>
            <w:tcW w:type="dxa" w:w="2045"/>
            <w:vAlign w:val="top"/>
          </w:tcPr>
          <w:p>
            <w:r>
              <w:t>OQ-02</w:t>
            </w:r>
          </w:p>
        </w:tc>
        <w:tc>
          <w:tcPr>
            <w:tcW w:type="dxa" w:w="2045"/>
            <w:vAlign w:val="top"/>
          </w:tcPr>
          <w:p>
            <w:r>
              <w:t>What are the approved eligibility and refund calculation rules?</w:t>
            </w:r>
          </w:p>
        </w:tc>
        <w:tc>
          <w:tcPr>
            <w:tcW w:type="dxa" w:w="2045"/>
            <w:vAlign w:val="top"/>
          </w:tcPr>
          <w:p>
            <w:r>
              <w:t>Finance / Legal</w:t>
            </w:r>
          </w:p>
        </w:tc>
        <w:tc>
          <w:tcPr>
            <w:tcW w:type="dxa" w:w="2045"/>
            <w:vAlign w:val="top"/>
          </w:tcPr>
          <w:p>
            <w:r>
              <w:t>TBD</w:t>
            </w:r>
          </w:p>
        </w:tc>
        <w:tc>
          <w:tcPr>
            <w:tcW w:type="dxa" w:w="2045"/>
            <w:vAlign w:val="top"/>
          </w:tcPr>
          <w:p>
            <w:r>
              <w:t>Open</w:t>
            </w:r>
          </w:p>
        </w:tc>
      </w:tr>
      <w:tr>
        <w:tc>
          <w:tcPr>
            <w:tcW w:type="dxa" w:w="2045"/>
            <w:vAlign w:val="top"/>
          </w:tcPr>
          <w:p>
            <w:r>
              <w:t>OQ-03</w:t>
            </w:r>
          </w:p>
        </w:tc>
        <w:tc>
          <w:tcPr>
            <w:tcW w:type="dxa" w:w="2045"/>
            <w:vAlign w:val="top"/>
          </w:tcPr>
          <w:p>
            <w:r>
              <w:t>Which payment providers, order systems, fulfilment systems and ledger are involved?</w:t>
            </w:r>
          </w:p>
        </w:tc>
        <w:tc>
          <w:tcPr>
            <w:tcW w:type="dxa" w:w="2045"/>
            <w:vAlign w:val="top"/>
          </w:tcPr>
          <w:p>
            <w:r>
              <w:t>Engineering / Payments</w:t>
            </w:r>
          </w:p>
        </w:tc>
        <w:tc>
          <w:tcPr>
            <w:tcW w:type="dxa" w:w="2045"/>
            <w:vAlign w:val="top"/>
          </w:tcPr>
          <w:p>
            <w:r>
              <w:t>TBD</w:t>
            </w:r>
          </w:p>
        </w:tc>
        <w:tc>
          <w:tcPr>
            <w:tcW w:type="dxa" w:w="2045"/>
            <w:vAlign w:val="top"/>
          </w:tcPr>
          <w:p>
            <w:r>
              <w:t>Open</w:t>
            </w:r>
          </w:p>
        </w:tc>
      </w:tr>
      <w:tr>
        <w:tc>
          <w:tcPr>
            <w:tcW w:type="dxa" w:w="2045"/>
            <w:vAlign w:val="top"/>
          </w:tcPr>
          <w:p>
            <w:r>
              <w:t>OQ-04</w:t>
            </w:r>
          </w:p>
        </w:tc>
        <w:tc>
          <w:tcPr>
            <w:tcW w:type="dxa" w:w="2045"/>
            <w:vAlign w:val="top"/>
          </w:tcPr>
          <w:p>
            <w:r>
              <w:t>What are current refund volumes, manual review rates, fraud losses and turnaround times?</w:t>
            </w:r>
          </w:p>
        </w:tc>
        <w:tc>
          <w:tcPr>
            <w:tcW w:type="dxa" w:w="2045"/>
            <w:vAlign w:val="top"/>
          </w:tcPr>
          <w:p>
            <w:r>
              <w:t>Operations / Finance</w:t>
            </w:r>
          </w:p>
        </w:tc>
        <w:tc>
          <w:tcPr>
            <w:tcW w:type="dxa" w:w="2045"/>
            <w:vAlign w:val="top"/>
          </w:tcPr>
          <w:p>
            <w:r>
              <w:t>TBD</w:t>
            </w:r>
          </w:p>
        </w:tc>
        <w:tc>
          <w:tcPr>
            <w:tcW w:type="dxa" w:w="2045"/>
            <w:vAlign w:val="top"/>
          </w:tcPr>
          <w:p>
            <w:r>
              <w:t>Open</w:t>
            </w:r>
          </w:p>
        </w:tc>
      </w:tr>
      <w:tr>
        <w:tc>
          <w:tcPr>
            <w:tcW w:type="dxa" w:w="2045"/>
            <w:vAlign w:val="top"/>
          </w:tcPr>
          <w:p>
            <w:r>
              <w:t>OQ-05</w:t>
            </w:r>
          </w:p>
        </w:tc>
        <w:tc>
          <w:tcPr>
            <w:tcW w:type="dxa" w:w="2045"/>
            <w:vAlign w:val="top"/>
          </w:tcPr>
          <w:p>
            <w:r>
              <w:t>What thresholds require human approval or fraud investigation?</w:t>
            </w:r>
          </w:p>
        </w:tc>
        <w:tc>
          <w:tcPr>
            <w:tcW w:type="dxa" w:w="2045"/>
            <w:vAlign w:val="top"/>
          </w:tcPr>
          <w:p>
            <w:r>
              <w:t>Risk / Operations</w:t>
            </w:r>
          </w:p>
        </w:tc>
        <w:tc>
          <w:tcPr>
            <w:tcW w:type="dxa" w:w="2045"/>
            <w:vAlign w:val="top"/>
          </w:tcPr>
          <w:p>
            <w:r>
              <w:t>TBD</w:t>
            </w:r>
          </w:p>
        </w:tc>
        <w:tc>
          <w:tcPr>
            <w:tcW w:type="dxa" w:w="2045"/>
            <w:vAlign w:val="top"/>
          </w:tcPr>
          <w:p>
            <w:r>
              <w:t>Open</w:t>
            </w:r>
          </w:p>
        </w:tc>
      </w:tr>
      <w:tr>
        <w:tc>
          <w:tcPr>
            <w:tcW w:type="dxa" w:w="2045"/>
            <w:vAlign w:val="top"/>
          </w:tcPr>
          <w:p>
            <w:r>
              <w:t>OQ-06</w:t>
            </w:r>
          </w:p>
        </w:tc>
        <w:tc>
          <w:tcPr>
            <w:tcW w:type="dxa" w:w="2045"/>
            <w:vAlign w:val="top"/>
          </w:tcPr>
          <w:p>
            <w:r>
              <w:t>What are the required service levels, retention and security controls?</w:t>
            </w:r>
          </w:p>
        </w:tc>
        <w:tc>
          <w:tcPr>
            <w:tcW w:type="dxa" w:w="2045"/>
            <w:vAlign w:val="top"/>
          </w:tcPr>
          <w:p>
            <w:r>
              <w:t>Technology / Compliance</w:t>
            </w:r>
          </w:p>
        </w:tc>
        <w:tc>
          <w:tcPr>
            <w:tcW w:type="dxa" w:w="2045"/>
            <w:vAlign w:val="top"/>
          </w:tcPr>
          <w:p>
            <w:r>
              <w:t>TBD</w:t>
            </w:r>
          </w:p>
        </w:tc>
        <w:tc>
          <w:tcPr>
            <w:tcW w:type="dxa" w:w="2045"/>
            <w:vAlign w:val="top"/>
          </w:tcPr>
          <w:p>
            <w:r>
              <w:t>Open</w:t>
            </w:r>
          </w:p>
        </w:tc>
      </w:tr>
      <w:tr>
        <w:tc>
          <w:tcPr>
            <w:tcW w:type="dxa" w:w="2045"/>
            <w:vAlign w:val="top"/>
          </w:tcPr>
          <w:p>
            <w:r>
              <w:t>OQ-07</w:t>
            </w:r>
          </w:p>
        </w:tc>
        <w:tc>
          <w:tcPr>
            <w:tcW w:type="dxa" w:w="2045"/>
            <w:vAlign w:val="top"/>
          </w:tcPr>
          <w:p>
            <w:r>
              <w:t>Who signs off the BRD and accepts each KPI?</w:t>
            </w:r>
          </w:p>
        </w:tc>
        <w:tc>
          <w:tcPr>
            <w:tcW w:type="dxa" w:w="2045"/>
            <w:vAlign w:val="top"/>
          </w:tcPr>
          <w:p>
            <w:r>
              <w:t>Sponsor</w:t>
            </w:r>
          </w:p>
        </w:tc>
        <w:tc>
          <w:tcPr>
            <w:tcW w:type="dxa" w:w="2045"/>
            <w:vAlign w:val="top"/>
          </w:tcPr>
          <w:p>
            <w:r>
              <w:t>TBD</w:t>
            </w:r>
          </w:p>
        </w:tc>
        <w:tc>
          <w:tcPr>
            <w:tcW w:type="dxa" w:w="2045"/>
            <w:vAlign w:val="top"/>
          </w:tcPr>
          <w:p>
            <w:r>
              <w:t>Open</w:t>
            </w:r>
          </w:p>
        </w:tc>
      </w:tr>
    </w:tbl>
    <w:p>
      <w:pPr>
        <w:pStyle w:val="Heading1"/>
      </w:pPr>
      <w:r>
        <w:t>14. Acceptance and Sign-Off</w:t>
      </w:r>
    </w:p>
    <w:p>
      <w:r>
        <w:t>The BRD should be baselined only after the customer confirms scope, business rules, financial ownership, exception handling, KPI definitions, dependencies and unresolved decisions.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rPr>
                <w:b/>
              </w:rPr>
              <w:t>Role</w:t>
            </w:r>
          </w:p>
        </w:tc>
        <w:tc>
          <w:tcPr>
            <w:tcW w:type="dxa" w:w="3408"/>
          </w:tcPr>
          <w:p>
            <w:r>
              <w:rPr>
                <w:b/>
              </w:rPr>
              <w:t>Name</w:t>
            </w:r>
          </w:p>
        </w:tc>
        <w:tc>
          <w:tcPr>
            <w:tcW w:type="dxa" w:w="3408"/>
          </w:tcPr>
          <w:p>
            <w:r>
              <w:rPr>
                <w:b/>
              </w:rPr>
              <w:t>Approval / date</w:t>
            </w:r>
          </w:p>
        </w:tc>
      </w:tr>
      <w:tr>
        <w:tc>
          <w:tcPr>
            <w:tcW w:type="dxa" w:w="3408"/>
            <w:vAlign w:val="top"/>
          </w:tcPr>
          <w:p>
            <w:r>
              <w:t>Business sponsor</w:t>
            </w:r>
          </w:p>
        </w:tc>
        <w:tc>
          <w:tcPr>
            <w:tcW w:type="dxa" w:w="3408"/>
            <w:vAlign w:val="top"/>
          </w:tcPr>
          <w:p>
            <w:r>
              <w:t>TBD</w:t>
            </w:r>
          </w:p>
        </w:tc>
        <w:tc>
          <w:tcPr>
            <w:tcW w:type="dxa" w:w="3408"/>
            <w:vAlign w:val="top"/>
          </w:tcPr>
          <w:p>
            <w:r>
              <w:t>TBD</w:t>
            </w:r>
          </w:p>
        </w:tc>
      </w:tr>
      <w:tr>
        <w:tc>
          <w:tcPr>
            <w:tcW w:type="dxa" w:w="3408"/>
            <w:vAlign w:val="top"/>
          </w:tcPr>
          <w:p>
            <w:r>
              <w:t>Refund operations owner</w:t>
            </w:r>
          </w:p>
        </w:tc>
        <w:tc>
          <w:tcPr>
            <w:tcW w:type="dxa" w:w="3408"/>
            <w:vAlign w:val="top"/>
          </w:tcPr>
          <w:p>
            <w:r>
              <w:t>TBD</w:t>
            </w:r>
          </w:p>
        </w:tc>
        <w:tc>
          <w:tcPr>
            <w:tcW w:type="dxa" w:w="3408"/>
            <w:vAlign w:val="top"/>
          </w:tcPr>
          <w:p>
            <w:r>
              <w:t>TBD</w:t>
            </w:r>
          </w:p>
        </w:tc>
      </w:tr>
      <w:tr>
        <w:tc>
          <w:tcPr>
            <w:tcW w:type="dxa" w:w="3408"/>
            <w:vAlign w:val="top"/>
          </w:tcPr>
          <w:p>
            <w:r>
              <w:t>Finance representative</w:t>
            </w:r>
          </w:p>
        </w:tc>
        <w:tc>
          <w:tcPr>
            <w:tcW w:type="dxa" w:w="3408"/>
            <w:vAlign w:val="top"/>
          </w:tcPr>
          <w:p>
            <w:r>
              <w:t>TBD</w:t>
            </w:r>
          </w:p>
        </w:tc>
        <w:tc>
          <w:tcPr>
            <w:tcW w:type="dxa" w:w="3408"/>
            <w:vAlign w:val="top"/>
          </w:tcPr>
          <w:p>
            <w:r>
              <w:t>TBD</w:t>
            </w:r>
          </w:p>
        </w:tc>
      </w:tr>
      <w:tr>
        <w:tc>
          <w:tcPr>
            <w:tcW w:type="dxa" w:w="3408"/>
            <w:vAlign w:val="top"/>
          </w:tcPr>
          <w:p>
            <w:r>
              <w:t>Risk / compliance representative</w:t>
            </w:r>
          </w:p>
        </w:tc>
        <w:tc>
          <w:tcPr>
            <w:tcW w:type="dxa" w:w="3408"/>
            <w:vAlign w:val="top"/>
          </w:tcPr>
          <w:p>
            <w:r>
              <w:t>TBD</w:t>
            </w:r>
          </w:p>
        </w:tc>
        <w:tc>
          <w:tcPr>
            <w:tcW w:type="dxa" w:w="3408"/>
            <w:vAlign w:val="top"/>
          </w:tcPr>
          <w:p>
            <w:r>
              <w:t>TBD</w:t>
            </w:r>
          </w:p>
        </w:tc>
      </w:tr>
      <w:tr>
        <w:tc>
          <w:tcPr>
            <w:tcW w:type="dxa" w:w="3408"/>
            <w:vAlign w:val="top"/>
          </w:tcPr>
          <w:p>
            <w:r>
              <w:t>FDE / delivery representative</w:t>
            </w:r>
          </w:p>
        </w:tc>
        <w:tc>
          <w:tcPr>
            <w:tcW w:type="dxa" w:w="3408"/>
            <w:vAlign w:val="top"/>
          </w:tcPr>
          <w:p>
            <w:r>
              <w:t>TBD</w:t>
            </w:r>
          </w:p>
        </w:tc>
        <w:tc>
          <w:tcPr>
            <w:tcW w:type="dxa" w:w="3408"/>
            <w:vAlign w:val="top"/>
          </w:tcPr>
          <w:p>
            <w:r>
              <w:t>TBD</w:t>
            </w:r>
          </w:p>
        </w:tc>
      </w:tr>
    </w:tbl>
    <w:p>
      <w:pPr>
        <w:pStyle w:val="Heading1"/>
      </w:pPr>
      <w:r>
        <w:t>Appendix A — Customer Discovery Questions</w:t>
      </w:r>
    </w:p>
    <w:p>
      <w:pPr>
        <w:pStyle w:val="Heading2"/>
      </w:pPr>
      <w:r>
        <w:t>Business goals and current state</w:t>
      </w:r>
    </w:p>
    <w:p>
      <w:pPr>
        <w:pStyle w:val="ListBullet"/>
      </w:pPr>
      <w:r>
        <w:t>What are the top three problems you want this initiative to solve?</w:t>
      </w:r>
    </w:p>
    <w:p>
      <w:pPr>
        <w:pStyle w:val="ListBullet"/>
      </w:pPr>
      <w:r>
        <w:t>How are refunds handled today, from customer request to closure?</w:t>
      </w:r>
    </w:p>
    <w:p>
      <w:pPr>
        <w:pStyle w:val="ListBullet"/>
      </w:pPr>
      <w:r>
        <w:t>How many refund requests do you receive per day/month, and what percentage is manually reviewed?</w:t>
      </w:r>
    </w:p>
    <w:p>
      <w:pPr>
        <w:pStyle w:val="ListBullet"/>
      </w:pPr>
      <w:r>
        <w:t>What are current average and 95th-percentile turnaround times, duplicate-refund rates, fraud losses and reconciliation backlog?</w:t>
      </w:r>
    </w:p>
    <w:p>
      <w:pPr>
        <w:pStyle w:val="ListBullet"/>
      </w:pPr>
      <w:r>
        <w:t>Which customer complaints or operational failures are most costly?</w:t>
      </w:r>
    </w:p>
    <w:p>
      <w:pPr>
        <w:pStyle w:val="Heading2"/>
      </w:pPr>
      <w:r>
        <w:t>Scope and prioritization</w:t>
      </w:r>
    </w:p>
    <w:p>
      <w:pPr>
        <w:pStyle w:val="ListBullet"/>
      </w:pPr>
      <w:r>
        <w:t>Which refund channels are in scope: app, website, chatbot, customer support, or all?</w:t>
      </w:r>
    </w:p>
    <w:p>
      <w:pPr>
        <w:pStyle w:val="ListBullet"/>
      </w:pPr>
      <w:r>
        <w:t>Which scenarios should the first release support: missing grocery item, damaged electronics, failed/duplicate debit, return pickup, or unreconciled refund?</w:t>
      </w:r>
    </w:p>
    <w:p>
      <w:pPr>
        <w:pStyle w:val="ListBullet"/>
      </w:pPr>
      <w:r>
        <w:t>Should marketplace and quick-commerce workflows have different rules?</w:t>
      </w:r>
    </w:p>
    <w:p>
      <w:pPr>
        <w:pStyle w:val="ListBullet"/>
      </w:pPr>
      <w:r>
        <w:t>What is explicitly out of scope for the first release?</w:t>
      </w:r>
    </w:p>
    <w:p>
      <w:pPr>
        <w:pStyle w:val="Heading2"/>
      </w:pPr>
      <w:r>
        <w:t>Policies and refund calculation</w:t>
      </w:r>
    </w:p>
    <w:p>
      <w:pPr>
        <w:pStyle w:val="ListBullet"/>
      </w:pPr>
      <w:r>
        <w:t>What makes a claim eligible, and what is the claim window for each category/reason?</w:t>
      </w:r>
    </w:p>
    <w:p>
      <w:pPr>
        <w:pStyle w:val="ListBullet"/>
      </w:pPr>
      <w:r>
        <w:t>Can customers request partial refunds for multi-item orders?</w:t>
      </w:r>
    </w:p>
    <w:p>
      <w:pPr>
        <w:pStyle w:val="ListBullet"/>
      </w:pPr>
      <w:r>
        <w:t>How are discounts, coupons, taxes, delivery fees, wallet credits, promotions and seller settlements allocated?</w:t>
      </w:r>
    </w:p>
    <w:p>
      <w:pPr>
        <w:pStyle w:val="ListBullet"/>
      </w:pPr>
      <w:r>
        <w:t>Which categories require images, serial numbers, pickup, inspection or proof of delivery?</w:t>
      </w:r>
    </w:p>
    <w:p>
      <w:pPr>
        <w:pStyle w:val="ListBullet"/>
      </w:pPr>
      <w:r>
        <w:t>Who approves policy changes, and how are effective dates and versions managed?</w:t>
      </w:r>
    </w:p>
    <w:p>
      <w:pPr>
        <w:pStyle w:val="Heading2"/>
      </w:pPr>
      <w:r>
        <w:t>Fraud, exceptions and human review</w:t>
      </w:r>
    </w:p>
    <w:p>
      <w:pPr>
        <w:pStyle w:val="ListBullet"/>
      </w:pPr>
      <w:r>
        <w:t>What patterns are considered suspicious: repeated claims, high value, unusual frequency, account/device patterns, or conflicting evidence?</w:t>
      </w:r>
    </w:p>
    <w:p>
      <w:pPr>
        <w:pStyle w:val="ListBullet"/>
      </w:pPr>
      <w:r>
        <w:t>What happens when the risk score is high, evidence is inconclusive, or data sources disagree?</w:t>
      </w:r>
    </w:p>
    <w:p>
      <w:pPr>
        <w:pStyle w:val="ListBullet"/>
      </w:pPr>
      <w:r>
        <w:t>Which roles can approve, reject, override or escalate a claim?</w:t>
      </w:r>
    </w:p>
    <w:p>
      <w:pPr>
        <w:pStyle w:val="ListBullet"/>
      </w:pPr>
      <w:r>
        <w:t>How should customers appeal a rejected claim, and how do we avoid treating a risk score as proof of fraud?</w:t>
      </w:r>
    </w:p>
    <w:p>
      <w:pPr>
        <w:pStyle w:val="ListBullet"/>
      </w:pPr>
      <w:r>
        <w:t>What false-positive rate or customer-impact threshold is acceptable?</w:t>
      </w:r>
    </w:p>
    <w:p>
      <w:pPr>
        <w:pStyle w:val="Heading2"/>
      </w:pPr>
      <w:r>
        <w:t>Payments and reconciliation</w:t>
      </w:r>
    </w:p>
    <w:p>
      <w:pPr>
        <w:pStyle w:val="ListBullet"/>
      </w:pPr>
      <w:r>
        <w:t>Which payment methods and providers are used (cards, UPI, wallets, other methods)?</w:t>
      </w:r>
    </w:p>
    <w:p>
      <w:pPr>
        <w:pStyle w:val="ListBullet"/>
      </w:pPr>
      <w:r>
        <w:t>How can we distinguish captured, pending, reversed, refunded and settled transactions?</w:t>
      </w:r>
    </w:p>
    <w:p>
      <w:pPr>
        <w:pStyle w:val="ListBullet"/>
      </w:pPr>
      <w:r>
        <w:t>What unique identifiers are available across order, payment provider, refund, settlement and ledger records?</w:t>
      </w:r>
    </w:p>
    <w:p>
      <w:pPr>
        <w:pStyle w:val="ListBullet"/>
      </w:pPr>
      <w:r>
        <w:t>What should happen if the provider times out after receiving a refund request?</w:t>
      </w:r>
    </w:p>
    <w:p>
      <w:pPr>
        <w:pStyle w:val="ListBullet"/>
      </w:pPr>
      <w:r>
        <w:t>How frequently is reconciliation performed, what is the SLA, and who owns unmatched transactions?</w:t>
      </w:r>
    </w:p>
    <w:p>
      <w:pPr>
        <w:pStyle w:val="ListBullet"/>
      </w:pPr>
      <w:r>
        <w:t>What are the retry, compensation and manual repair rules?</w:t>
      </w:r>
    </w:p>
    <w:p>
      <w:pPr>
        <w:pStyle w:val="Heading2"/>
      </w:pPr>
      <w:r>
        <w:t>Data, integration and security</w:t>
      </w:r>
    </w:p>
    <w:p>
      <w:pPr>
        <w:pStyle w:val="ListBullet"/>
      </w:pPr>
      <w:r>
        <w:t>Which systems are the source of truth for orders, payments, fulfilment, policies, risk and accounting?</w:t>
      </w:r>
    </w:p>
    <w:p>
      <w:pPr>
        <w:pStyle w:val="ListBullet"/>
      </w:pPr>
      <w:r>
        <w:t>Are APIs, event streams, files or database views available? Are there rate limits or access restrictions?</w:t>
      </w:r>
    </w:p>
    <w:p>
      <w:pPr>
        <w:pStyle w:val="ListBullet"/>
      </w:pPr>
      <w:r>
        <w:t>What data may be used for AI, and what must be masked or excluded?</w:t>
      </w:r>
    </w:p>
    <w:p>
      <w:pPr>
        <w:pStyle w:val="ListBullet"/>
      </w:pPr>
      <w:r>
        <w:t>What authentication, authorization, encryption, retention and audit requirements apply?</w:t>
      </w:r>
    </w:p>
    <w:p>
      <w:pPr>
        <w:pStyle w:val="ListBullet"/>
      </w:pPr>
      <w:r>
        <w:t>What volumes, peak loads, uptime and recovery objectives must be supported?</w:t>
      </w:r>
    </w:p>
    <w:p>
      <w:pPr>
        <w:pStyle w:val="Heading2"/>
      </w:pPr>
      <w:r>
        <w:t>Customer communication and reporting</w:t>
      </w:r>
    </w:p>
    <w:p>
      <w:pPr>
        <w:pStyle w:val="ListBullet"/>
      </w:pPr>
      <w:r>
        <w:t>Which refund statuses should customers see, and through which channels?</w:t>
      </w:r>
    </w:p>
    <w:p>
      <w:pPr>
        <w:pStyle w:val="ListBullet"/>
      </w:pPr>
      <w:r>
        <w:t>What wording is approved when payment is initiated but settlement is not yet confirmed?</w:t>
      </w:r>
    </w:p>
    <w:p>
      <w:pPr>
        <w:pStyle w:val="ListBullet"/>
      </w:pPr>
      <w:r>
        <w:t>Which dashboards and reports do operations, finance and leadership need?</w:t>
      </w:r>
    </w:p>
    <w:p>
      <w:pPr>
        <w:pStyle w:val="ListBullet"/>
      </w:pPr>
      <w:r>
        <w:t>Who owns each KPI, how is it calculated, and what baseline/time period will be used?</w:t>
      </w:r>
    </w:p>
    <w:p>
      <w:pPr>
        <w:pStyle w:val="ListBullet"/>
      </w:pPr>
      <w:r>
        <w:t>What evidence must an auditor or support agent see when investigating a refund?</w:t>
      </w:r>
    </w:p>
    <w:p>
      <w:pPr>
        <w:pStyle w:val="Heading2"/>
      </w:pPr>
      <w:r>
        <w:t>Delivery and governance</w:t>
      </w:r>
    </w:p>
    <w:p>
      <w:pPr>
        <w:pStyle w:val="ListBullet"/>
      </w:pPr>
      <w:r>
        <w:t>Who is the business sponsor and final decision-maker?</w:t>
      </w:r>
    </w:p>
    <w:p>
      <w:pPr>
        <w:pStyle w:val="ListBullet"/>
      </w:pPr>
      <w:r>
        <w:t>Who signs off rules, financial calculations, AI governance and security?</w:t>
      </w:r>
    </w:p>
    <w:p>
      <w:pPr>
        <w:pStyle w:val="ListBullet"/>
      </w:pPr>
      <w:r>
        <w:t>What is the desired pilot date and how will success be evaluated?</w:t>
      </w:r>
    </w:p>
    <w:p>
      <w:pPr>
        <w:pStyle w:val="ListBullet"/>
      </w:pPr>
      <w:r>
        <w:t>What test data, historical cases and subject-matter experts can be made available?</w:t>
      </w:r>
    </w:p>
    <w:p>
      <w:pPr>
        <w:pStyle w:val="ListBullet"/>
      </w:pPr>
      <w:r>
        <w:t>What is the process for approving requirement changes?</w:t>
      </w:r>
    </w:p>
    <w:p>
      <w:pPr>
        <w:pStyle w:val="Heading1"/>
      </w:pPr>
      <w:r>
        <w:t>Appendix B — Five-Minute Scenario to Use in the Mock Meeting</w:t>
      </w:r>
    </w:p>
    <w:p>
      <w:r>
        <w:t>Scenario: A customer ordered five grocery items through quick commerce. One item is missing. The customer requests a partial refund. The order shows a substitution attempt, the customer has a previous claim, and the payment provider has a pending transaction event.</w:t>
      </w:r>
    </w:p>
    <w:p>
      <w:pPr>
        <w:pStyle w:val="ListBullet"/>
      </w:pPr>
      <w:r>
        <w:t>Ask the customer what evidence is authoritative for a missing item.</w:t>
      </w:r>
    </w:p>
    <w:p>
      <w:pPr>
        <w:pStyle w:val="ListBullet"/>
      </w:pPr>
      <w:r>
        <w:t>Clarify whether the refund is item-level and how discounts/taxes are allocated.</w:t>
      </w:r>
    </w:p>
    <w:p>
      <w:pPr>
        <w:pStyle w:val="ListBullet"/>
      </w:pPr>
      <w:r>
        <w:t>Ask whether the prior claim should trigger review or merely contribute to risk assessment.</w:t>
      </w:r>
    </w:p>
    <w:p>
      <w:pPr>
        <w:pStyle w:val="ListBullet"/>
      </w:pPr>
      <w:r>
        <w:t>Clarify what to do while payment state is pending and how to avoid a duplicate refund.</w:t>
      </w:r>
    </w:p>
    <w:p>
      <w:pPr>
        <w:pStyle w:val="ListBullet"/>
      </w:pPr>
      <w:r>
        <w:t>Ask who approves exceptions, what status the customer sees, and what confirms final closure.</w:t>
      </w:r>
    </w:p>
    <w:p>
      <w:r>
        <w:t>Do not invent policy answers during the role-play. Record unknowns as open questions, identify the owner, and agree on a follow-up.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