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02C57"/>
          <w:sz w:val="34"/>
        </w:rPr>
        <w:t>PES UNIVERSITY</w:t>
      </w:r>
    </w:p>
    <w:p>
      <w:pPr>
        <w:spacing w:after="40"/>
        <w:jc w:val="center"/>
      </w:pPr>
      <w:r>
        <w:rPr>
          <w:rFonts w:ascii="Calibri" w:hAnsi="Calibri"/>
          <w:b/>
          <w:color w:val="6C757D"/>
          <w:sz w:val="22"/>
        </w:rPr>
        <w:t>DEPARTMENT OF COMPUTER SCIENCE AND ENGINEERING</w:t>
      </w:r>
    </w:p>
    <w:p>
      <w:pPr>
        <w:spacing w:after="160"/>
        <w:jc w:val="center"/>
      </w:pPr>
      <w:r>
        <w:rPr>
          <w:rFonts w:ascii="Calibri" w:hAnsi="Calibri"/>
          <w:i/>
          <w:color w:val="6C757D"/>
          <w:sz w:val="20"/>
        </w:rPr>
        <w:t>Computer Networks Laboratory (UE23CS252) • Mini-Project Report</w:t>
      </w: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50" w:type="dxa"/>
              <w:right w:w="150" w:type="dxa"/>
            </w:tcMar>
          </w:tcPr>
          <w:p>
            <w:pPr>
              <w:spacing w:after="60"/>
              <w:jc w:val="center"/>
            </w:pPr>
            <w:r>
              <w:rPr>
                <w:rFonts w:ascii="Calibri" w:hAnsi="Calibri"/>
                <w:b/>
                <w:color w:val="102C57"/>
                <w:sz w:val="19"/>
              </w:rPr>
              <w:t>PROJECT #7 • TEAM 5</w:t>
            </w:r>
          </w:p>
          <w:p>
            <w:pPr>
              <w:spacing w:after="0"/>
              <w:jc w:val="center"/>
            </w:pPr>
            <w:r>
              <w:rPr>
                <w:rFonts w:ascii="Calibri" w:hAnsi="Calibri"/>
                <w:b/>
                <w:color w:val="102C57"/>
                <w:sz w:val="25"/>
              </w:rPr>
              <w:t>Packet Loss Detection and Recovery over Software-Defined Networks</w:t>
              <w:br/>
              <w:t>(Stop-and-Wait ARQ &amp; Dynamic OpenFlow Path Failover)</w:t>
            </w:r>
          </w:p>
        </w:tc>
      </w:tr>
    </w:tbl>
    <w:p>
      <w:pPr>
        <w:spacing w:before="80" w:after="80"/>
      </w:pPr>
    </w:p>
    <w:tbl>
      <w:tblPr>
        <w:tblW w:type="auto" w:w="0"/>
        <w:jc w:val="center"/>
        <w:tblLayout w:type="fixed"/>
        <w:tblLook w:firstColumn="1" w:firstRow="1" w:lastColumn="0" w:lastRow="0" w:noHBand="0" w:noVBand="1" w:val="04A0"/>
      </w:tblPr>
      <w:tblGrid>
        <w:gridCol w:w="4968"/>
        <w:gridCol w:w="4968"/>
      </w:tblGrid>
      <w:tr>
        <w:tc>
          <w:tcPr>
            <w:tcW w:type="dxa" w:w="5472"/>
            <w:shd w:fill="102C57"/>
            <w:tcMar>
              <w:top w:w="70" w:type="dxa"/>
              <w:bottom w:w="70" w:type="dxa"/>
              <w:left w:w="120" w:type="dxa"/>
              <w:right w:w="120" w:type="dxa"/>
            </w:tcMar>
          </w:tcPr>
          <w:p>
            <w:r>
              <w:rPr>
                <w:rFonts w:ascii="Calibri" w:hAnsi="Calibri"/>
                <w:b/>
                <w:color w:val="FFFFFF"/>
                <w:sz w:val="20"/>
              </w:rPr>
              <w:t>Student Name</w:t>
            </w:r>
          </w:p>
        </w:tc>
        <w:tc>
          <w:tcPr>
            <w:tcW w:type="dxa" w:w="4320"/>
            <w:shd w:fill="102C57"/>
            <w:tcMar>
              <w:top w:w="70" w:type="dxa"/>
              <w:bottom w:w="70" w:type="dxa"/>
              <w:left w:w="120" w:type="dxa"/>
              <w:right w:w="120" w:type="dxa"/>
            </w:tcMar>
          </w:tcPr>
          <w:p>
            <w:r>
              <w:rPr>
                <w:rFonts w:ascii="Calibri" w:hAnsi="Calibri"/>
                <w:b/>
                <w:color w:val="FFFFFF"/>
                <w:sz w:val="20"/>
              </w:rPr>
              <w:t>SRN</w:t>
            </w:r>
          </w:p>
        </w:tc>
      </w:tr>
      <w:tr>
        <w:tc>
          <w:tcPr>
            <w:tcW w:type="dxa" w:w="5472"/>
            <w:shd w:fill="F8F9FA"/>
            <w:tcMar>
              <w:top w:w="60" w:type="dxa"/>
              <w:bottom w:w="60" w:type="dxa"/>
              <w:left w:w="120" w:type="dxa"/>
              <w:right w:w="120" w:type="dxa"/>
            </w:tcMar>
          </w:tcPr>
          <w:p>
            <w:r>
              <w:rPr>
                <w:rFonts w:ascii="Calibri" w:hAnsi="Calibri"/>
                <w:b/>
                <w:color w:val="212529"/>
                <w:sz w:val="19"/>
              </w:rPr>
              <w:t>Arvind Namaji</w:t>
            </w:r>
          </w:p>
        </w:tc>
        <w:tc>
          <w:tcPr>
            <w:tcW w:type="dxa" w:w="4320"/>
            <w:shd w:fill="F8F9FA"/>
            <w:tcMar>
              <w:top w:w="60" w:type="dxa"/>
              <w:bottom w:w="60" w:type="dxa"/>
              <w:left w:w="120" w:type="dxa"/>
              <w:right w:w="120" w:type="dxa"/>
            </w:tcMar>
          </w:tcPr>
          <w:p>
            <w:r>
              <w:rPr>
                <w:rFonts w:ascii="Calibri" w:hAnsi="Calibri"/>
                <w:color w:val="212529"/>
                <w:sz w:val="19"/>
              </w:rPr>
              <w:t>PES1UG25CS102</w:t>
            </w:r>
          </w:p>
        </w:tc>
      </w:tr>
      <w:tr>
        <w:tc>
          <w:tcPr>
            <w:tcW w:type="dxa" w:w="5472"/>
            <w:shd w:fill="FFFFFF"/>
            <w:tcMar>
              <w:top w:w="60" w:type="dxa"/>
              <w:bottom w:w="60" w:type="dxa"/>
              <w:left w:w="120" w:type="dxa"/>
              <w:right w:w="120" w:type="dxa"/>
            </w:tcMar>
          </w:tcPr>
          <w:p>
            <w:r>
              <w:rPr>
                <w:rFonts w:ascii="Calibri" w:hAnsi="Calibri"/>
                <w:b/>
                <w:color w:val="212529"/>
                <w:sz w:val="19"/>
              </w:rPr>
              <w:t>Anirudh S</w:t>
            </w:r>
          </w:p>
        </w:tc>
        <w:tc>
          <w:tcPr>
            <w:tcW w:type="dxa" w:w="4320"/>
            <w:shd w:fill="FFFFFF"/>
            <w:tcMar>
              <w:top w:w="60" w:type="dxa"/>
              <w:bottom w:w="60" w:type="dxa"/>
              <w:left w:w="120" w:type="dxa"/>
              <w:right w:w="120" w:type="dxa"/>
            </w:tcMar>
          </w:tcPr>
          <w:p>
            <w:r>
              <w:rPr>
                <w:rFonts w:ascii="Calibri" w:hAnsi="Calibri"/>
                <w:color w:val="212529"/>
                <w:sz w:val="19"/>
              </w:rPr>
              <w:t>PES1UG25CS069</w:t>
            </w:r>
          </w:p>
        </w:tc>
      </w:tr>
      <w:tr>
        <w:tc>
          <w:tcPr>
            <w:tcW w:type="dxa" w:w="5472"/>
            <w:shd w:fill="F8F9FA"/>
            <w:tcMar>
              <w:top w:w="60" w:type="dxa"/>
              <w:bottom w:w="60" w:type="dxa"/>
              <w:left w:w="120" w:type="dxa"/>
              <w:right w:w="120" w:type="dxa"/>
            </w:tcMar>
          </w:tcPr>
          <w:p>
            <w:r>
              <w:rPr>
                <w:rFonts w:ascii="Calibri" w:hAnsi="Calibri"/>
                <w:b/>
                <w:color w:val="212529"/>
                <w:sz w:val="19"/>
              </w:rPr>
              <w:t>Bapathi Venkata Sri Abhivaran Reddy</w:t>
            </w:r>
          </w:p>
        </w:tc>
        <w:tc>
          <w:tcPr>
            <w:tcW w:type="dxa" w:w="4320"/>
            <w:shd w:fill="F8F9FA"/>
            <w:tcMar>
              <w:top w:w="60" w:type="dxa"/>
              <w:bottom w:w="60" w:type="dxa"/>
              <w:left w:w="120" w:type="dxa"/>
              <w:right w:w="120" w:type="dxa"/>
            </w:tcMar>
          </w:tcPr>
          <w:p>
            <w:r>
              <w:rPr>
                <w:rFonts w:ascii="Calibri" w:hAnsi="Calibri"/>
                <w:color w:val="212529"/>
                <w:sz w:val="19"/>
              </w:rPr>
              <w:t>PES1UG25CS122</w:t>
            </w:r>
          </w:p>
        </w:tc>
      </w:tr>
    </w:tbl>
    <w:p>
      <w:pPr>
        <w:keepNext/>
        <w:spacing w:before="280" w:after="80"/>
      </w:pPr>
      <w:r>
        <w:rPr>
          <w:rFonts w:ascii="Calibri" w:hAnsi="Calibri"/>
          <w:b/>
          <w:color w:val="102C57"/>
          <w:sz w:val="27"/>
        </w:rPr>
        <w:t>1. ABSTRACT</w:t>
      </w:r>
    </w:p>
    <w:p>
      <w:pPr>
        <w:spacing w:after="80" w:line="276" w:lineRule="auto"/>
      </w:pPr>
      <w:r>
        <w:rPr>
          <w:rFonts w:ascii="Calibri" w:hAnsi="Calibri"/>
          <w:color w:val="212529"/>
          <w:sz w:val="21"/>
        </w:rPr>
        <w:t>In traditional computer networks, the User Datagram Protocol (UDP) offers lightweight, connectionless datagram transport without delivery, ordering, or data integrity assurances. In contrast, standard Transmission Control Protocol (TCP) hides internal error detection and flow recovery within the operating system kernel. This project designs, implements, and benchmarks a two-tier reliable networked application that integrates custom transport-layer protocol engineering with Software-Defined Networking (SDN) in a virtualized Mininet environment.</w:t>
      </w:r>
    </w:p>
    <w:p>
      <w:pPr>
        <w:spacing w:after="80" w:line="276" w:lineRule="auto"/>
      </w:pPr>
      <w:r>
        <w:rPr>
          <w:rFonts w:ascii="Calibri" w:hAnsi="Calibri"/>
          <w:color w:val="212529"/>
          <w:sz w:val="21"/>
        </w:rPr>
        <w:t>At the transport layer, we engineered an alternating-bit Stop-and-Wait Automatic Repeat reQuest (ARQ) protocol over raw UDP sockets featuring a strict 12-byte binary header, CRC-32 integrity validation, and non-blocking timeout retransmissions. At the network layer, we configured a redundant multi-path mesh topology across four Open vSwitch (OVS) nodes operated under OpenFlow 1.3 rules. A custom SDN controller dynamically tracks physical port statuses, automatically rerouting traffic from a broken primary link (s1 &lt;-&gt; s2) to an alternate backup link (s1 &lt;-&gt; s3 &lt;-&gt; s4) in under 0.5 seconds, ensuring uninterrupted transport delivery without session termination.</w:t>
      </w:r>
    </w:p>
    <w:p>
      <w:r>
        <w:br w:type="page"/>
      </w:r>
    </w:p>
    <w:p>
      <w:pPr>
        <w:keepNext/>
        <w:spacing w:before="280" w:after="80"/>
      </w:pPr>
      <w:r>
        <w:rPr>
          <w:rFonts w:ascii="Calibri" w:hAnsi="Calibri"/>
          <w:b/>
          <w:color w:val="102C57"/>
          <w:sz w:val="27"/>
        </w:rPr>
        <w:t>2. SYSTEM ARCHITECTURE &amp; PACKET SPECIFICATION</w:t>
      </w:r>
    </w:p>
    <w:p>
      <w:pPr>
        <w:keepNext/>
        <w:spacing w:before="200" w:after="60"/>
      </w:pPr>
      <w:r>
        <w:rPr>
          <w:rFonts w:ascii="Calibri" w:hAnsi="Calibri"/>
          <w:b/>
          <w:color w:val="102C57"/>
          <w:sz w:val="23"/>
        </w:rPr>
        <w:t>2.1 Multi-Path Mesh Topology in Mininet</w:t>
      </w:r>
    </w:p>
    <w:p>
      <w:pPr>
        <w:spacing w:after="80" w:line="276" w:lineRule="auto"/>
      </w:pPr>
      <w:r>
        <w:rPr>
          <w:rFonts w:ascii="Calibri" w:hAnsi="Calibri"/>
          <w:color w:val="212529"/>
          <w:sz w:val="21"/>
        </w:rPr>
        <w:t>The physical-layer emulation is implemented inside Mininet using Open vSwitch bridges configured in secure fail mode (failMode='secure'). Traffic flows between host h1 (Sender) and host h2 (Receiver) across two disjoint paths:</w:t>
      </w:r>
    </w:p>
    <w:tbl>
      <w:tblPr>
        <w:tblW w:type="auto" w:w="0"/>
        <w:jc w:val="center"/>
        <w:tblLook w:firstColumn="1" w:firstRow="1" w:lastColumn="0" w:lastRow="0" w:noHBand="0" w:noVBand="1" w:val="04A0"/>
      </w:tblPr>
      <w:tblGrid>
        <w:gridCol w:w="9792"/>
      </w:tblGrid>
      <w:tr>
        <w:tc>
          <w:tcPr>
            <w:tcW w:type="dxa" w:w="9936"/>
            <w:shd w:fill="F8F9FA"/>
            <w:tcMar>
              <w:top w:w="80" w:type="dxa"/>
              <w:bottom w:w="80" w:type="dxa"/>
              <w:left w:w="120" w:type="dxa"/>
              <w:right w:w="120" w:type="dxa"/>
            </w:tcMar>
          </w:tcPr>
          <w:p>
            <w:pPr>
              <w:spacing w:line="252" w:lineRule="auto"/>
            </w:pPr>
            <w:r>
              <w:rPr>
                <w:rFonts w:ascii="Consolas" w:hAnsi="Consolas"/>
                <w:color w:val="212529"/>
                <w:sz w:val="17"/>
              </w:rPr>
              <w:t xml:space="preserve">                      [ Switch s1 ]</w:t>
              <w:br/>
              <w:t xml:space="preserve">                     /             \</w:t>
              <w:br/>
              <w:t xml:space="preserve">       Primary Path /               \  Backup Path</w:t>
              <w:br/>
              <w:t xml:space="preserve">      (5ms latency)/                 \ (20ms latency)</w:t>
              <w:br/>
              <w:t xml:space="preserve">             [ Switch s2 ]      [ Switch s3 ]</w:t>
              <w:br/>
              <w:t xml:space="preserve">                   \                 /</w:t>
              <w:br/>
              <w:t xml:space="preserve">                    \               /</w:t>
              <w:br/>
              <w:t xml:space="preserve">                     \             /</w:t>
              <w:br/>
              <w:t xml:space="preserve">                      [ Switch s4 ]</w:t>
              <w:br/>
              <w:t xml:space="preserve">                            |</w:t>
              <w:br/>
              <w:t xml:space="preserve">                  [ Host h2 (10.0.0.2) ]</w:t>
              <w:br/>
              <w:t xml:space="preserve">                  (Socket Receiver / ACK)</w:t>
            </w:r>
          </w:p>
        </w:tc>
      </w:tr>
    </w:tbl>
    <w:p>
      <w:pPr>
        <w:spacing w:after="80" w:line="276" w:lineRule="auto"/>
      </w:pPr>
      <w:r>
        <w:rPr>
          <w:rFonts w:ascii="Calibri" w:hAnsi="Calibri"/>
          <w:color w:val="212529"/>
          <w:sz w:val="21"/>
        </w:rPr>
        <w:t>• Host h1 (10.0.0.1, Port 1 on s1): Transmits UDP packets as the Stop-and-Wait sender.</w:t>
        <w:br/>
        <w:t>• Primary Path (s1 &lt;-&gt; s2 &lt;-&gt; s4): 10 Mbps bandwidth, 5 ms propagation delay (Mininet TCLink).</w:t>
        <w:br/>
        <w:t>• Backup Path (s1 &lt;-&gt; s3 &lt;-&gt; s4): 10 Mbps bandwidth, 20 ms propagation delay for failover redundancy.</w:t>
        <w:br/>
        <w:t>• Host h2 (10.0.0.2, Port 1 on s4): Listens on UDP port 12000, validates checksums, and sends ACKs.</w:t>
      </w:r>
    </w:p>
    <w:p>
      <w:pPr>
        <w:keepNext/>
        <w:spacing w:before="200" w:after="60"/>
      </w:pPr>
      <w:r>
        <w:rPr>
          <w:rFonts w:ascii="Calibri" w:hAnsi="Calibri"/>
          <w:b/>
          <w:color w:val="102C57"/>
          <w:sz w:val="23"/>
        </w:rPr>
        <w:t>2.2 Custom Binary Header Framing Specification</w:t>
      </w:r>
    </w:p>
    <w:p>
      <w:pPr>
        <w:spacing w:after="80" w:line="276" w:lineRule="auto"/>
      </w:pPr>
      <w:r>
        <w:rPr>
          <w:rFonts w:ascii="Calibri" w:hAnsi="Calibri"/>
          <w:color w:val="212529"/>
          <w:sz w:val="21"/>
        </w:rPr>
        <w:t>To avoid text parsing overhead, all datagrams are framed into binary format using Python's struct module adhering to Big-Endian Network Byte Order ('!IIHH'):</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102C57"/>
            <w:tcMar>
              <w:top w:w="60" w:type="dxa"/>
              <w:bottom w:w="60" w:type="dxa"/>
              <w:left w:w="70" w:type="dxa"/>
              <w:right w:w="70" w:type="dxa"/>
            </w:tcMar>
          </w:tcPr>
          <w:p>
            <w:r>
              <w:rPr>
                <w:rFonts w:ascii="Calibri" w:hAnsi="Calibri"/>
                <w:b/>
                <w:color w:val="FFFFFF"/>
                <w:sz w:val="18"/>
              </w:rPr>
              <w:t>Field Name</w:t>
            </w:r>
          </w:p>
        </w:tc>
        <w:tc>
          <w:tcPr>
            <w:tcW w:type="dxa" w:w="1152"/>
            <w:shd w:fill="102C57"/>
            <w:tcMar>
              <w:top w:w="60" w:type="dxa"/>
              <w:bottom w:w="60" w:type="dxa"/>
              <w:left w:w="70" w:type="dxa"/>
              <w:right w:w="70" w:type="dxa"/>
            </w:tcMar>
          </w:tcPr>
          <w:p>
            <w:r>
              <w:rPr>
                <w:rFonts w:ascii="Calibri" w:hAnsi="Calibri"/>
                <w:b/>
                <w:color w:val="FFFFFF"/>
                <w:sz w:val="18"/>
              </w:rPr>
              <w:t>Size</w:t>
            </w:r>
          </w:p>
        </w:tc>
        <w:tc>
          <w:tcPr>
            <w:tcW w:type="dxa" w:w="1440"/>
            <w:shd w:fill="102C57"/>
            <w:tcMar>
              <w:top w:w="60" w:type="dxa"/>
              <w:bottom w:w="60" w:type="dxa"/>
              <w:left w:w="70" w:type="dxa"/>
              <w:right w:w="70" w:type="dxa"/>
            </w:tcMar>
          </w:tcPr>
          <w:p>
            <w:r>
              <w:rPr>
                <w:rFonts w:ascii="Calibri" w:hAnsi="Calibri"/>
                <w:b/>
                <w:color w:val="FFFFFF"/>
                <w:sz w:val="18"/>
              </w:rPr>
              <w:t>Data Type</w:t>
            </w:r>
          </w:p>
        </w:tc>
        <w:tc>
          <w:tcPr>
            <w:tcW w:type="dxa" w:w="1152"/>
            <w:shd w:fill="102C57"/>
            <w:tcMar>
              <w:top w:w="60" w:type="dxa"/>
              <w:bottom w:w="60" w:type="dxa"/>
              <w:left w:w="70" w:type="dxa"/>
              <w:right w:w="70" w:type="dxa"/>
            </w:tcMar>
          </w:tcPr>
          <w:p>
            <w:r>
              <w:rPr>
                <w:rFonts w:ascii="Calibri" w:hAnsi="Calibri"/>
                <w:b/>
                <w:color w:val="FFFFFF"/>
                <w:sz w:val="18"/>
              </w:rPr>
              <w:t>Offset</w:t>
            </w:r>
          </w:p>
        </w:tc>
        <w:tc>
          <w:tcPr>
            <w:tcW w:type="dxa" w:w="4320"/>
            <w:shd w:fill="102C57"/>
            <w:tcMar>
              <w:top w:w="60" w:type="dxa"/>
              <w:bottom w:w="60" w:type="dxa"/>
              <w:left w:w="70" w:type="dxa"/>
              <w:right w:w="70" w:type="dxa"/>
            </w:tcMar>
          </w:tcPr>
          <w:p>
            <w:r>
              <w:rPr>
                <w:rFonts w:ascii="Calibri" w:hAnsi="Calibri"/>
                <w:b/>
                <w:color w:val="FFFFFF"/>
                <w:sz w:val="18"/>
              </w:rPr>
              <w:t>Protocol Function</w:t>
            </w:r>
          </w:p>
        </w:tc>
      </w:tr>
      <w:tr>
        <w:tc>
          <w:tcPr>
            <w:tcW w:type="dxa" w:w="1728"/>
            <w:shd w:fill="F8F9FA"/>
            <w:tcMar>
              <w:top w:w="50" w:type="dxa"/>
              <w:bottom w:w="50" w:type="dxa"/>
              <w:left w:w="70" w:type="dxa"/>
              <w:right w:w="70" w:type="dxa"/>
            </w:tcMar>
          </w:tcPr>
          <w:p>
            <w:r>
              <w:rPr>
                <w:rFonts w:ascii="Consolas" w:hAnsi="Consolas"/>
                <w:b/>
                <w:color w:val="212529"/>
                <w:sz w:val="17"/>
              </w:rPr>
              <w:t>seq_num</w:t>
            </w:r>
          </w:p>
        </w:tc>
        <w:tc>
          <w:tcPr>
            <w:tcW w:type="dxa" w:w="1152"/>
            <w:shd w:fill="F8F9FA"/>
            <w:tcMar>
              <w:top w:w="50" w:type="dxa"/>
              <w:bottom w:w="50" w:type="dxa"/>
              <w:left w:w="70" w:type="dxa"/>
              <w:right w:w="70" w:type="dxa"/>
            </w:tcMar>
          </w:tcPr>
          <w:p>
            <w:r>
              <w:rPr>
                <w:rFonts w:ascii="Calibri" w:hAnsi="Calibri"/>
                <w:color w:val="212529"/>
                <w:sz w:val="17"/>
              </w:rPr>
              <w:t>4 Bytes</w:t>
            </w:r>
          </w:p>
        </w:tc>
        <w:tc>
          <w:tcPr>
            <w:tcW w:type="dxa" w:w="1440"/>
            <w:shd w:fill="F8F9FA"/>
            <w:tcMar>
              <w:top w:w="50" w:type="dxa"/>
              <w:bottom w:w="50" w:type="dxa"/>
              <w:left w:w="70" w:type="dxa"/>
              <w:right w:w="70" w:type="dxa"/>
            </w:tcMar>
          </w:tcPr>
          <w:p>
            <w:r>
              <w:rPr>
                <w:rFonts w:ascii="Calibri" w:hAnsi="Calibri"/>
                <w:color w:val="212529"/>
                <w:sz w:val="17"/>
              </w:rPr>
              <w:t>uint32</w:t>
            </w:r>
          </w:p>
        </w:tc>
        <w:tc>
          <w:tcPr>
            <w:tcW w:type="dxa" w:w="1152"/>
            <w:shd w:fill="F8F9FA"/>
            <w:tcMar>
              <w:top w:w="50" w:type="dxa"/>
              <w:bottom w:w="50" w:type="dxa"/>
              <w:left w:w="70" w:type="dxa"/>
              <w:right w:w="70" w:type="dxa"/>
            </w:tcMar>
          </w:tcPr>
          <w:p>
            <w:r>
              <w:rPr>
                <w:rFonts w:ascii="Calibri" w:hAnsi="Calibri"/>
                <w:color w:val="212529"/>
                <w:sz w:val="17"/>
              </w:rPr>
              <w:t>0 – 3</w:t>
            </w:r>
          </w:p>
        </w:tc>
        <w:tc>
          <w:tcPr>
            <w:tcW w:type="dxa" w:w="4320"/>
            <w:shd w:fill="F8F9FA"/>
            <w:tcMar>
              <w:top w:w="50" w:type="dxa"/>
              <w:bottom w:w="50" w:type="dxa"/>
              <w:left w:w="70" w:type="dxa"/>
              <w:right w:w="70" w:type="dxa"/>
            </w:tcMar>
          </w:tcPr>
          <w:p>
            <w:r>
              <w:rPr>
                <w:rFonts w:ascii="Calibri" w:hAnsi="Calibri"/>
                <w:color w:val="212529"/>
                <w:sz w:val="17"/>
              </w:rPr>
              <w:t>1-Bit alternating sequence flag (0 or 1)</w:t>
            </w:r>
          </w:p>
        </w:tc>
      </w:tr>
      <w:tr>
        <w:tc>
          <w:tcPr>
            <w:tcW w:type="dxa" w:w="1728"/>
            <w:shd w:fill="FFFFFF"/>
            <w:tcMar>
              <w:top w:w="50" w:type="dxa"/>
              <w:bottom w:w="50" w:type="dxa"/>
              <w:left w:w="70" w:type="dxa"/>
              <w:right w:w="70" w:type="dxa"/>
            </w:tcMar>
          </w:tcPr>
          <w:p>
            <w:r>
              <w:rPr>
                <w:rFonts w:ascii="Consolas" w:hAnsi="Consolas"/>
                <w:b/>
                <w:color w:val="212529"/>
                <w:sz w:val="17"/>
              </w:rPr>
              <w:t>ack_num</w:t>
            </w:r>
          </w:p>
        </w:tc>
        <w:tc>
          <w:tcPr>
            <w:tcW w:type="dxa" w:w="1152"/>
            <w:shd w:fill="FFFFFF"/>
            <w:tcMar>
              <w:top w:w="50" w:type="dxa"/>
              <w:bottom w:w="50" w:type="dxa"/>
              <w:left w:w="70" w:type="dxa"/>
              <w:right w:w="70" w:type="dxa"/>
            </w:tcMar>
          </w:tcPr>
          <w:p>
            <w:r>
              <w:rPr>
                <w:rFonts w:ascii="Calibri" w:hAnsi="Calibri"/>
                <w:color w:val="212529"/>
                <w:sz w:val="17"/>
              </w:rPr>
              <w:t>4 Bytes</w:t>
            </w:r>
          </w:p>
        </w:tc>
        <w:tc>
          <w:tcPr>
            <w:tcW w:type="dxa" w:w="1440"/>
            <w:shd w:fill="FFFFFF"/>
            <w:tcMar>
              <w:top w:w="50" w:type="dxa"/>
              <w:bottom w:w="50" w:type="dxa"/>
              <w:left w:w="70" w:type="dxa"/>
              <w:right w:w="70" w:type="dxa"/>
            </w:tcMar>
          </w:tcPr>
          <w:p>
            <w:r>
              <w:rPr>
                <w:rFonts w:ascii="Calibri" w:hAnsi="Calibri"/>
                <w:color w:val="212529"/>
                <w:sz w:val="17"/>
              </w:rPr>
              <w:t>uint32</w:t>
            </w:r>
          </w:p>
        </w:tc>
        <w:tc>
          <w:tcPr>
            <w:tcW w:type="dxa" w:w="1152"/>
            <w:shd w:fill="FFFFFF"/>
            <w:tcMar>
              <w:top w:w="50" w:type="dxa"/>
              <w:bottom w:w="50" w:type="dxa"/>
              <w:left w:w="70" w:type="dxa"/>
              <w:right w:w="70" w:type="dxa"/>
            </w:tcMar>
          </w:tcPr>
          <w:p>
            <w:r>
              <w:rPr>
                <w:rFonts w:ascii="Calibri" w:hAnsi="Calibri"/>
                <w:color w:val="212529"/>
                <w:sz w:val="17"/>
              </w:rPr>
              <w:t>4 – 7</w:t>
            </w:r>
          </w:p>
        </w:tc>
        <w:tc>
          <w:tcPr>
            <w:tcW w:type="dxa" w:w="4320"/>
            <w:shd w:fill="FFFFFF"/>
            <w:tcMar>
              <w:top w:w="50" w:type="dxa"/>
              <w:bottom w:w="50" w:type="dxa"/>
              <w:left w:w="70" w:type="dxa"/>
              <w:right w:w="70" w:type="dxa"/>
            </w:tcMar>
          </w:tcPr>
          <w:p>
            <w:r>
              <w:rPr>
                <w:rFonts w:ascii="Calibri" w:hAnsi="Calibri"/>
                <w:color w:val="212529"/>
                <w:sz w:val="17"/>
              </w:rPr>
              <w:t>Sequence number acknowledged by the receiver</w:t>
            </w:r>
          </w:p>
        </w:tc>
      </w:tr>
      <w:tr>
        <w:tc>
          <w:tcPr>
            <w:tcW w:type="dxa" w:w="1728"/>
            <w:shd w:fill="F8F9FA"/>
            <w:tcMar>
              <w:top w:w="50" w:type="dxa"/>
              <w:bottom w:w="50" w:type="dxa"/>
              <w:left w:w="70" w:type="dxa"/>
              <w:right w:w="70" w:type="dxa"/>
            </w:tcMar>
          </w:tcPr>
          <w:p>
            <w:r>
              <w:rPr>
                <w:rFonts w:ascii="Consolas" w:hAnsi="Consolas"/>
                <w:b/>
                <w:color w:val="212529"/>
                <w:sz w:val="17"/>
              </w:rPr>
              <w:t>flags</w:t>
            </w:r>
          </w:p>
        </w:tc>
        <w:tc>
          <w:tcPr>
            <w:tcW w:type="dxa" w:w="1152"/>
            <w:shd w:fill="F8F9FA"/>
            <w:tcMar>
              <w:top w:w="50" w:type="dxa"/>
              <w:bottom w:w="50" w:type="dxa"/>
              <w:left w:w="70" w:type="dxa"/>
              <w:right w:w="70" w:type="dxa"/>
            </w:tcMar>
          </w:tcPr>
          <w:p>
            <w:r>
              <w:rPr>
                <w:rFonts w:ascii="Calibri" w:hAnsi="Calibri"/>
                <w:color w:val="212529"/>
                <w:sz w:val="17"/>
              </w:rPr>
              <w:t>2 Bytes</w:t>
            </w:r>
          </w:p>
        </w:tc>
        <w:tc>
          <w:tcPr>
            <w:tcW w:type="dxa" w:w="1440"/>
            <w:shd w:fill="F8F9FA"/>
            <w:tcMar>
              <w:top w:w="50" w:type="dxa"/>
              <w:bottom w:w="50" w:type="dxa"/>
              <w:left w:w="70" w:type="dxa"/>
              <w:right w:w="70" w:type="dxa"/>
            </w:tcMar>
          </w:tcPr>
          <w:p>
            <w:r>
              <w:rPr>
                <w:rFonts w:ascii="Calibri" w:hAnsi="Calibri"/>
                <w:color w:val="212529"/>
                <w:sz w:val="17"/>
              </w:rPr>
              <w:t>uint16</w:t>
            </w:r>
          </w:p>
        </w:tc>
        <w:tc>
          <w:tcPr>
            <w:tcW w:type="dxa" w:w="1152"/>
            <w:shd w:fill="F8F9FA"/>
            <w:tcMar>
              <w:top w:w="50" w:type="dxa"/>
              <w:bottom w:w="50" w:type="dxa"/>
              <w:left w:w="70" w:type="dxa"/>
              <w:right w:w="70" w:type="dxa"/>
            </w:tcMar>
          </w:tcPr>
          <w:p>
            <w:r>
              <w:rPr>
                <w:rFonts w:ascii="Calibri" w:hAnsi="Calibri"/>
                <w:color w:val="212529"/>
                <w:sz w:val="17"/>
              </w:rPr>
              <w:t>8 – 9</w:t>
            </w:r>
          </w:p>
        </w:tc>
        <w:tc>
          <w:tcPr>
            <w:tcW w:type="dxa" w:w="4320"/>
            <w:shd w:fill="F8F9FA"/>
            <w:tcMar>
              <w:top w:w="50" w:type="dxa"/>
              <w:bottom w:w="50" w:type="dxa"/>
              <w:left w:w="70" w:type="dxa"/>
              <w:right w:w="70" w:type="dxa"/>
            </w:tcMar>
          </w:tcPr>
          <w:p>
            <w:r>
              <w:rPr>
                <w:rFonts w:ascii="Calibri" w:hAnsi="Calibri"/>
                <w:color w:val="212529"/>
                <w:sz w:val="17"/>
              </w:rPr>
              <w:t>Bitmask: 0x01 (DATA), 0x02 (ACK), 0x04 (FIN)</w:t>
            </w:r>
          </w:p>
        </w:tc>
      </w:tr>
      <w:tr>
        <w:tc>
          <w:tcPr>
            <w:tcW w:type="dxa" w:w="1728"/>
            <w:shd w:fill="FFFFFF"/>
            <w:tcMar>
              <w:top w:w="50" w:type="dxa"/>
              <w:bottom w:w="50" w:type="dxa"/>
              <w:left w:w="70" w:type="dxa"/>
              <w:right w:w="70" w:type="dxa"/>
            </w:tcMar>
          </w:tcPr>
          <w:p>
            <w:r>
              <w:rPr>
                <w:rFonts w:ascii="Consolas" w:hAnsi="Consolas"/>
                <w:b/>
                <w:color w:val="212529"/>
                <w:sz w:val="17"/>
              </w:rPr>
              <w:t>checksum</w:t>
            </w:r>
          </w:p>
        </w:tc>
        <w:tc>
          <w:tcPr>
            <w:tcW w:type="dxa" w:w="1152"/>
            <w:shd w:fill="FFFFFF"/>
            <w:tcMar>
              <w:top w:w="50" w:type="dxa"/>
              <w:bottom w:w="50" w:type="dxa"/>
              <w:left w:w="70" w:type="dxa"/>
              <w:right w:w="70" w:type="dxa"/>
            </w:tcMar>
          </w:tcPr>
          <w:p>
            <w:r>
              <w:rPr>
                <w:rFonts w:ascii="Calibri" w:hAnsi="Calibri"/>
                <w:color w:val="212529"/>
                <w:sz w:val="17"/>
              </w:rPr>
              <w:t>2 Bytes</w:t>
            </w:r>
          </w:p>
        </w:tc>
        <w:tc>
          <w:tcPr>
            <w:tcW w:type="dxa" w:w="1440"/>
            <w:shd w:fill="FFFFFF"/>
            <w:tcMar>
              <w:top w:w="50" w:type="dxa"/>
              <w:bottom w:w="50" w:type="dxa"/>
              <w:left w:w="70" w:type="dxa"/>
              <w:right w:w="70" w:type="dxa"/>
            </w:tcMar>
          </w:tcPr>
          <w:p>
            <w:r>
              <w:rPr>
                <w:rFonts w:ascii="Calibri" w:hAnsi="Calibri"/>
                <w:color w:val="212529"/>
                <w:sz w:val="17"/>
              </w:rPr>
              <w:t>uint16</w:t>
            </w:r>
          </w:p>
        </w:tc>
        <w:tc>
          <w:tcPr>
            <w:tcW w:type="dxa" w:w="1152"/>
            <w:shd w:fill="FFFFFF"/>
            <w:tcMar>
              <w:top w:w="50" w:type="dxa"/>
              <w:bottom w:w="50" w:type="dxa"/>
              <w:left w:w="70" w:type="dxa"/>
              <w:right w:w="70" w:type="dxa"/>
            </w:tcMar>
          </w:tcPr>
          <w:p>
            <w:r>
              <w:rPr>
                <w:rFonts w:ascii="Calibri" w:hAnsi="Calibri"/>
                <w:color w:val="212529"/>
                <w:sz w:val="17"/>
              </w:rPr>
              <w:t>10 – 11</w:t>
            </w:r>
          </w:p>
        </w:tc>
        <w:tc>
          <w:tcPr>
            <w:tcW w:type="dxa" w:w="4320"/>
            <w:shd w:fill="FFFFFF"/>
            <w:tcMar>
              <w:top w:w="50" w:type="dxa"/>
              <w:bottom w:w="50" w:type="dxa"/>
              <w:left w:w="70" w:type="dxa"/>
              <w:right w:w="70" w:type="dxa"/>
            </w:tcMar>
          </w:tcPr>
          <w:p>
            <w:r>
              <w:rPr>
                <w:rFonts w:ascii="Calibri" w:hAnsi="Calibri"/>
                <w:color w:val="212529"/>
                <w:sz w:val="17"/>
              </w:rPr>
              <w:t>Lower 16 bits of CRC-32 computed on payload</w:t>
            </w:r>
          </w:p>
        </w:tc>
      </w:tr>
      <w:tr>
        <w:tc>
          <w:tcPr>
            <w:tcW w:type="dxa" w:w="1728"/>
            <w:shd w:fill="F8F9FA"/>
            <w:tcMar>
              <w:top w:w="50" w:type="dxa"/>
              <w:bottom w:w="50" w:type="dxa"/>
              <w:left w:w="70" w:type="dxa"/>
              <w:right w:w="70" w:type="dxa"/>
            </w:tcMar>
          </w:tcPr>
          <w:p>
            <w:r>
              <w:rPr>
                <w:rFonts w:ascii="Consolas" w:hAnsi="Consolas"/>
                <w:b/>
                <w:color w:val="212529"/>
                <w:sz w:val="17"/>
              </w:rPr>
              <w:t>payload</w:t>
            </w:r>
          </w:p>
        </w:tc>
        <w:tc>
          <w:tcPr>
            <w:tcW w:type="dxa" w:w="1152"/>
            <w:shd w:fill="F8F9FA"/>
            <w:tcMar>
              <w:top w:w="50" w:type="dxa"/>
              <w:bottom w:w="50" w:type="dxa"/>
              <w:left w:w="70" w:type="dxa"/>
              <w:right w:w="70" w:type="dxa"/>
            </w:tcMar>
          </w:tcPr>
          <w:p>
            <w:r>
              <w:rPr>
                <w:rFonts w:ascii="Calibri" w:hAnsi="Calibri"/>
                <w:color w:val="212529"/>
                <w:sz w:val="17"/>
              </w:rPr>
              <w:t>Variable</w:t>
            </w:r>
          </w:p>
        </w:tc>
        <w:tc>
          <w:tcPr>
            <w:tcW w:type="dxa" w:w="1440"/>
            <w:shd w:fill="F8F9FA"/>
            <w:tcMar>
              <w:top w:w="50" w:type="dxa"/>
              <w:bottom w:w="50" w:type="dxa"/>
              <w:left w:w="70" w:type="dxa"/>
              <w:right w:w="70" w:type="dxa"/>
            </w:tcMar>
          </w:tcPr>
          <w:p>
            <w:r>
              <w:rPr>
                <w:rFonts w:ascii="Calibri" w:hAnsi="Calibri"/>
                <w:color w:val="212529"/>
                <w:sz w:val="17"/>
              </w:rPr>
              <w:t>Raw Bytes</w:t>
            </w:r>
          </w:p>
        </w:tc>
        <w:tc>
          <w:tcPr>
            <w:tcW w:type="dxa" w:w="1152"/>
            <w:shd w:fill="F8F9FA"/>
            <w:tcMar>
              <w:top w:w="50" w:type="dxa"/>
              <w:bottom w:w="50" w:type="dxa"/>
              <w:left w:w="70" w:type="dxa"/>
              <w:right w:w="70" w:type="dxa"/>
            </w:tcMar>
          </w:tcPr>
          <w:p>
            <w:r>
              <w:rPr>
                <w:rFonts w:ascii="Calibri" w:hAnsi="Calibri"/>
                <w:color w:val="212529"/>
                <w:sz w:val="17"/>
              </w:rPr>
              <w:t>12 – N</w:t>
            </w:r>
          </w:p>
        </w:tc>
        <w:tc>
          <w:tcPr>
            <w:tcW w:type="dxa" w:w="4320"/>
            <w:shd w:fill="F8F9FA"/>
            <w:tcMar>
              <w:top w:w="50" w:type="dxa"/>
              <w:bottom w:w="50" w:type="dxa"/>
              <w:left w:w="70" w:type="dxa"/>
              <w:right w:w="70" w:type="dxa"/>
            </w:tcMar>
          </w:tcPr>
          <w:p>
            <w:r>
              <w:rPr>
                <w:rFonts w:ascii="Calibri" w:hAnsi="Calibri"/>
                <w:color w:val="212529"/>
                <w:sz w:val="17"/>
              </w:rPr>
              <w:t>Application data chunk (e.g., 6 bytes/packet)</w:t>
            </w:r>
          </w:p>
        </w:tc>
      </w:tr>
    </w:tbl>
    <w:p>
      <w:pPr>
        <w:keepNext/>
        <w:spacing w:before="280" w:after="80"/>
      </w:pPr>
      <w:r>
        <w:rPr>
          <w:rFonts w:ascii="Calibri" w:hAnsi="Calibri"/>
          <w:b/>
          <w:color w:val="102C57"/>
          <w:sz w:val="27"/>
        </w:rPr>
        <w:t>3. PROTOCOL LOGIC &amp; DYNAMIC CONTROLLER DESIGN</w:t>
      </w:r>
    </w:p>
    <w:p>
      <w:pPr>
        <w:keepNext/>
        <w:spacing w:before="200" w:after="60"/>
      </w:pPr>
      <w:r>
        <w:rPr>
          <w:rFonts w:ascii="Calibri" w:hAnsi="Calibri"/>
          <w:b/>
          <w:color w:val="102C57"/>
          <w:sz w:val="23"/>
        </w:rPr>
        <w:t>3.1 Alternating-Bit Stop-and-Wait ARQ State Machine</w:t>
      </w:r>
    </w:p>
    <w:p>
      <w:pPr>
        <w:spacing w:after="80" w:line="276" w:lineRule="auto"/>
      </w:pPr>
      <w:r>
        <w:rPr>
          <w:rFonts w:ascii="Calibri" w:hAnsi="Calibri"/>
          <w:color w:val="212529"/>
          <w:sz w:val="21"/>
        </w:rPr>
        <w:t>Because Stop-and-Wait ARQ operates with a sliding window size W = 1, exactly one unacknowledged datagram exists in transit. This allows a 1-bit sequence number (0 &lt;-&gt; 1) to distinguish new packets from duplicate retransmissions with zero ambiguity:</w:t>
      </w:r>
    </w:p>
    <w:p>
      <w:pPr>
        <w:spacing w:after="80" w:line="276" w:lineRule="auto"/>
      </w:pPr>
      <w:r>
        <w:rPr>
          <w:rFonts w:ascii="Calibri" w:hAnsi="Calibri"/>
          <w:color w:val="212529"/>
          <w:sz w:val="21"/>
        </w:rPr>
        <w:t>• Sender Logic: Transmits chunk with active sequence bit (Seq 0). Starts a socket timeout timer (2.0s). Upon receiving ACK 0, it clears the timer, flips to Seq 1, and transmits the next chunk. If a timeout occurs, it triggers retransmission up to an 8-attempt ceiling.</w:t>
        <w:br/>
        <w:t>• Receiver Logic: Computes CRC-32 on payload. If checksum is valid and seq_num matches expected_seq, it writes to the buffer, returns ACK, and toggles expected_seq. If seq_num is duplicate, it discards data to prevent buffer corruption and re-sends the previous ACK.</w:t>
      </w:r>
    </w:p>
    <w:p>
      <w:pPr>
        <w:keepNext/>
        <w:spacing w:before="200" w:after="60"/>
      </w:pPr>
      <w:r>
        <w:rPr>
          <w:rFonts w:ascii="Calibri" w:hAnsi="Calibri"/>
          <w:b/>
          <w:color w:val="102C57"/>
          <w:sz w:val="23"/>
        </w:rPr>
        <w:t>3.2 SDN OpenFlow Controller &amp; Link Monitoring</w:t>
      </w:r>
    </w:p>
    <w:p>
      <w:pPr>
        <w:spacing w:after="80" w:line="276" w:lineRule="auto"/>
      </w:pPr>
      <w:r>
        <w:rPr>
          <w:rFonts w:ascii="Calibri" w:hAnsi="Calibri"/>
          <w:color w:val="212529"/>
          <w:sz w:val="21"/>
        </w:rPr>
        <w:t>The SDN controller (sdn_controller.py) communicates with Open vSwitch via OpenFlow 1.3. It inspects switch ports every 500 ms. When an administrator triggers a link drop, the controller detects PORT_DOWN on s1-eth2, purges old flow entries, and installs high-priority alternate routes through switch s3.</w:t>
      </w:r>
    </w:p>
    <w:p>
      <w:pPr>
        <w:spacing w:before="120" w:after="40"/>
        <w:jc w:val="center"/>
      </w:pPr>
      <w:r>
        <w:drawing>
          <wp:inline xmlns:a="http://schemas.openxmlformats.org/drawingml/2006/main" xmlns:pic="http://schemas.openxmlformats.org/drawingml/2006/picture">
            <wp:extent cx="4389120" cy="4332729"/>
            <wp:docPr id="1" name="Picture 1"/>
            <wp:cNvGraphicFramePr>
              <a:graphicFrameLocks noChangeAspect="1"/>
            </wp:cNvGraphicFramePr>
            <a:graphic>
              <a:graphicData uri="http://schemas.openxmlformats.org/drawingml/2006/picture">
                <pic:pic>
                  <pic:nvPicPr>
                    <pic:cNvPr id="0" name="mininet.png"/>
                    <pic:cNvPicPr/>
                  </pic:nvPicPr>
                  <pic:blipFill>
                    <a:blip r:embed="rId9"/>
                    <a:stretch>
                      <a:fillRect/>
                    </a:stretch>
                  </pic:blipFill>
                  <pic:spPr>
                    <a:xfrm>
                      <a:off x="0" y="0"/>
                      <a:ext cx="4389120" cy="4332729"/>
                    </a:xfrm>
                    <a:prstGeom prst="rect"/>
                  </pic:spPr>
                </pic:pic>
              </a:graphicData>
            </a:graphic>
          </wp:inline>
        </w:drawing>
      </w:r>
    </w:p>
    <w:p>
      <w:pPr>
        <w:spacing w:after="160"/>
        <w:jc w:val="center"/>
      </w:pPr>
      <w:r>
        <w:rPr>
          <w:rFonts w:ascii="Calibri" w:hAnsi="Calibri"/>
          <w:i/>
          <w:color w:val="6C757D"/>
          <w:sz w:val="19"/>
        </w:rPr>
        <w:t>Figure 1: Mininet Topology Setup and Runtime Failure Injection ('link s1 s2 down')</w:t>
      </w:r>
    </w:p>
    <w:p>
      <w:pPr>
        <w:keepNext/>
        <w:spacing w:before="280" w:after="80"/>
      </w:pPr>
      <w:r>
        <w:rPr>
          <w:rFonts w:ascii="Calibri" w:hAnsi="Calibri"/>
          <w:b/>
          <w:color w:val="102C57"/>
          <w:sz w:val="27"/>
        </w:rPr>
        <w:t>4. EXPERIMENTAL VERIFICATION &amp; ROBUSTNESS TESTING</w:t>
      </w:r>
    </w:p>
    <w:p>
      <w:pPr>
        <w:spacing w:after="80" w:line="276" w:lineRule="auto"/>
      </w:pPr>
      <w:r>
        <w:rPr>
          <w:rFonts w:ascii="Calibri" w:hAnsi="Calibri"/>
          <w:color w:val="212529"/>
          <w:sz w:val="21"/>
        </w:rPr>
        <w:t>During active socket streaming of a 15-chunk string from host h1 to h2, a physical link disruption was injected by bringing s1-eth2 down. The system successfully executed end-to-end failover recovery without application failure.</w:t>
      </w:r>
    </w:p>
    <w:p>
      <w:pPr>
        <w:spacing w:before="120" w:after="40"/>
        <w:jc w:val="center"/>
      </w:pPr>
      <w:r>
        <w:drawing>
          <wp:inline xmlns:a="http://schemas.openxmlformats.org/drawingml/2006/main" xmlns:pic="http://schemas.openxmlformats.org/drawingml/2006/picture">
            <wp:extent cx="4389120" cy="3699401"/>
            <wp:docPr id="2" name="Picture 2"/>
            <wp:cNvGraphicFramePr>
              <a:graphicFrameLocks noChangeAspect="1"/>
            </wp:cNvGraphicFramePr>
            <a:graphic>
              <a:graphicData uri="http://schemas.openxmlformats.org/drawingml/2006/picture">
                <pic:pic>
                  <pic:nvPicPr>
                    <pic:cNvPr id="0" name="controller.png"/>
                    <pic:cNvPicPr/>
                  </pic:nvPicPr>
                  <pic:blipFill>
                    <a:blip r:embed="rId10"/>
                    <a:stretch>
                      <a:fillRect/>
                    </a:stretch>
                  </pic:blipFill>
                  <pic:spPr>
                    <a:xfrm>
                      <a:off x="0" y="0"/>
                      <a:ext cx="4389120" cy="3699401"/>
                    </a:xfrm>
                    <a:prstGeom prst="rect"/>
                  </pic:spPr>
                </pic:pic>
              </a:graphicData>
            </a:graphic>
          </wp:inline>
        </w:drawing>
      </w:r>
    </w:p>
    <w:p>
      <w:pPr>
        <w:spacing w:after="160"/>
        <w:jc w:val="center"/>
      </w:pPr>
      <w:r>
        <w:rPr>
          <w:rFonts w:ascii="Calibri" w:hAnsi="Calibri"/>
          <w:i/>
          <w:color w:val="6C757D"/>
          <w:sz w:val="19"/>
        </w:rPr>
        <w:t>Figure 2: SDN Controller Real-Time Link Drop Detection and Dynamic Flow Rerouting to Backup Path (s3)</w:t>
      </w:r>
    </w:p>
    <w:p>
      <w:pPr>
        <w:spacing w:before="120" w:after="40"/>
        <w:jc w:val="center"/>
      </w:pPr>
      <w:r>
        <w:drawing>
          <wp:inline xmlns:a="http://schemas.openxmlformats.org/drawingml/2006/main" xmlns:pic="http://schemas.openxmlformats.org/drawingml/2006/picture">
            <wp:extent cx="4114800" cy="3743620"/>
            <wp:docPr id="3" name="Picture 3"/>
            <wp:cNvGraphicFramePr>
              <a:graphicFrameLocks noChangeAspect="1"/>
            </wp:cNvGraphicFramePr>
            <a:graphic>
              <a:graphicData uri="http://schemas.openxmlformats.org/drawingml/2006/picture">
                <pic:pic>
                  <pic:nvPicPr>
                    <pic:cNvPr id="0" name="node h1.png"/>
                    <pic:cNvPicPr/>
                  </pic:nvPicPr>
                  <pic:blipFill>
                    <a:blip r:embed="rId11"/>
                    <a:stretch>
                      <a:fillRect/>
                    </a:stretch>
                  </pic:blipFill>
                  <pic:spPr>
                    <a:xfrm>
                      <a:off x="0" y="0"/>
                      <a:ext cx="4114800" cy="3743620"/>
                    </a:xfrm>
                    <a:prstGeom prst="rect"/>
                  </pic:spPr>
                </pic:pic>
              </a:graphicData>
            </a:graphic>
          </wp:inline>
        </w:drawing>
      </w:r>
    </w:p>
    <w:p>
      <w:pPr>
        <w:spacing w:after="160"/>
        <w:jc w:val="center"/>
      </w:pPr>
      <w:r>
        <w:rPr>
          <w:rFonts w:ascii="Calibri" w:hAnsi="Calibri"/>
          <w:i/>
          <w:color w:val="6C757D"/>
          <w:sz w:val="19"/>
        </w:rPr>
        <w:t>Figure 3: Node h1 (Sender) Event Trace Showing Timeout and Successful Retransmission</w:t>
      </w:r>
    </w:p>
    <w:p>
      <w:pPr>
        <w:spacing w:before="120" w:after="40"/>
        <w:jc w:val="center"/>
      </w:pPr>
      <w:r>
        <w:drawing>
          <wp:inline xmlns:a="http://schemas.openxmlformats.org/drawingml/2006/main" xmlns:pic="http://schemas.openxmlformats.org/drawingml/2006/picture">
            <wp:extent cx="4114800" cy="3202278"/>
            <wp:docPr id="4" name="Picture 4"/>
            <wp:cNvGraphicFramePr>
              <a:graphicFrameLocks noChangeAspect="1"/>
            </wp:cNvGraphicFramePr>
            <a:graphic>
              <a:graphicData uri="http://schemas.openxmlformats.org/drawingml/2006/picture">
                <pic:pic>
                  <pic:nvPicPr>
                    <pic:cNvPr id="0" name="node h2.png"/>
                    <pic:cNvPicPr/>
                  </pic:nvPicPr>
                  <pic:blipFill>
                    <a:blip r:embed="rId12"/>
                    <a:stretch>
                      <a:fillRect/>
                    </a:stretch>
                  </pic:blipFill>
                  <pic:spPr>
                    <a:xfrm>
                      <a:off x="0" y="0"/>
                      <a:ext cx="4114800" cy="3202278"/>
                    </a:xfrm>
                    <a:prstGeom prst="rect"/>
                  </pic:spPr>
                </pic:pic>
              </a:graphicData>
            </a:graphic>
          </wp:inline>
        </w:drawing>
      </w:r>
    </w:p>
    <w:p>
      <w:pPr>
        <w:spacing w:after="160"/>
        <w:jc w:val="center"/>
      </w:pPr>
      <w:r>
        <w:rPr>
          <w:rFonts w:ascii="Calibri" w:hAnsi="Calibri"/>
          <w:i/>
          <w:color w:val="6C757D"/>
          <w:sz w:val="19"/>
        </w:rPr>
        <w:t>Figure 4: Node h2 (Receiver) Event Trace Showing Zero-Loss In-Order Message Reassembly</w:t>
      </w:r>
    </w:p>
    <w:p>
      <w:pPr>
        <w:spacing w:before="120" w:after="40"/>
        <w:jc w:val="center"/>
      </w:pPr>
      <w:r>
        <w:drawing>
          <wp:inline xmlns:a="http://schemas.openxmlformats.org/drawingml/2006/main" xmlns:pic="http://schemas.openxmlformats.org/drawingml/2006/picture">
            <wp:extent cx="4754880" cy="4654988"/>
            <wp:docPr id="5" name="Picture 5"/>
            <wp:cNvGraphicFramePr>
              <a:graphicFrameLocks noChangeAspect="1"/>
            </wp:cNvGraphicFramePr>
            <a:graphic>
              <a:graphicData uri="http://schemas.openxmlformats.org/drawingml/2006/picture">
                <pic:pic>
                  <pic:nvPicPr>
                    <pic:cNvPr id="0" name="Screenshot 2026-10-10 221517.png"/>
                    <pic:cNvPicPr/>
                  </pic:nvPicPr>
                  <pic:blipFill>
                    <a:blip r:embed="rId13"/>
                    <a:stretch>
                      <a:fillRect/>
                    </a:stretch>
                  </pic:blipFill>
                  <pic:spPr>
                    <a:xfrm>
                      <a:off x="0" y="0"/>
                      <a:ext cx="4754880" cy="4654988"/>
                    </a:xfrm>
                    <a:prstGeom prst="rect"/>
                  </pic:spPr>
                </pic:pic>
              </a:graphicData>
            </a:graphic>
          </wp:inline>
        </w:drawing>
      </w:r>
    </w:p>
    <w:p>
      <w:pPr>
        <w:spacing w:after="160"/>
        <w:jc w:val="center"/>
      </w:pPr>
      <w:r>
        <w:rPr>
          <w:rFonts w:ascii="Calibri" w:hAnsi="Calibri"/>
          <w:i/>
          <w:color w:val="6C757D"/>
          <w:sz w:val="19"/>
        </w:rPr>
        <w:t>Figure 5: Integrated Multi-Window Execution Trace (Mininet CLI, SDN Controller, h1 Sender, h2 Receiver)</w:t>
      </w:r>
    </w:p>
    <w:p>
      <w:pPr>
        <w:keepNext/>
        <w:spacing w:before="280" w:after="80"/>
      </w:pPr>
      <w:r>
        <w:rPr>
          <w:rFonts w:ascii="Calibri" w:hAnsi="Calibri"/>
          <w:b/>
          <w:color w:val="102C57"/>
          <w:sz w:val="27"/>
        </w:rPr>
        <w:t>5. PERFORMANCE EVALUATION &amp; COMPARISON</w:t>
      </w:r>
    </w:p>
    <w:p>
      <w:pPr>
        <w:spacing w:after="80" w:line="276" w:lineRule="auto"/>
      </w:pPr>
      <w:r>
        <w:rPr>
          <w:rFonts w:ascii="Calibri" w:hAnsi="Calibri"/>
          <w:color w:val="212529"/>
          <w:sz w:val="21"/>
        </w:rPr>
        <w:t>To evaluate performance against conventional setups, we benchmarked our dynamic SDN framework against a static baseline network (without SDN dynamic rerouting capabilities):</w:t>
      </w:r>
    </w:p>
    <w:p>
      <w:pPr>
        <w:spacing w:before="120" w:after="40"/>
        <w:jc w:val="center"/>
      </w:pPr>
      <w:r>
        <w:drawing>
          <wp:inline xmlns:a="http://schemas.openxmlformats.org/drawingml/2006/main" xmlns:pic="http://schemas.openxmlformats.org/drawingml/2006/picture">
            <wp:extent cx="4389120" cy="2702277"/>
            <wp:docPr id="6" name="Picture 6"/>
            <wp:cNvGraphicFramePr>
              <a:graphicFrameLocks noChangeAspect="1"/>
            </wp:cNvGraphicFramePr>
            <a:graphic>
              <a:graphicData uri="http://schemas.openxmlformats.org/drawingml/2006/picture">
                <pic:pic>
                  <pic:nvPicPr>
                    <pic:cNvPr id="0" name="Screenshot 2026-10-10 220759.png"/>
                    <pic:cNvPicPr/>
                  </pic:nvPicPr>
                  <pic:blipFill>
                    <a:blip r:embed="rId14"/>
                    <a:stretch>
                      <a:fillRect/>
                    </a:stretch>
                  </pic:blipFill>
                  <pic:spPr>
                    <a:xfrm>
                      <a:off x="0" y="0"/>
                      <a:ext cx="4389120" cy="2702277"/>
                    </a:xfrm>
                    <a:prstGeom prst="rect"/>
                  </pic:spPr>
                </pic:pic>
              </a:graphicData>
            </a:graphic>
          </wp:inline>
        </w:drawing>
      </w:r>
    </w:p>
    <w:p>
      <w:pPr>
        <w:spacing w:after="160"/>
        <w:jc w:val="center"/>
      </w:pPr>
      <w:r>
        <w:rPr>
          <w:rFonts w:ascii="Calibri" w:hAnsi="Calibri"/>
          <w:i/>
          <w:color w:val="6C757D"/>
          <w:sz w:val="19"/>
        </w:rPr>
        <w:t>Figure 6: Execution Benchmark Comparing Static Baseline Routing vs. Proposed Dynamic SDN + ARQ</w:t>
      </w:r>
    </w:p>
    <w:tbl>
      <w:tblPr>
        <w:tblW w:type="auto" w:w="0"/>
        <w:jc w:val="center"/>
        <w:tblLayout w:type="fixed"/>
        <w:tblLook w:firstColumn="1" w:firstRow="1" w:lastColumn="0" w:lastRow="0" w:noHBand="0" w:noVBand="1" w:val="04A0"/>
      </w:tblPr>
      <w:tblGrid>
        <w:gridCol w:w="3312"/>
        <w:gridCol w:w="3312"/>
        <w:gridCol w:w="3312"/>
      </w:tblGrid>
      <w:tr>
        <w:tc>
          <w:tcPr>
            <w:tcW w:type="dxa" w:w="3744"/>
            <w:shd w:fill="102C57"/>
            <w:tcMar>
              <w:top w:w="60" w:type="dxa"/>
              <w:bottom w:w="60" w:type="dxa"/>
              <w:left w:w="80" w:type="dxa"/>
              <w:right w:w="80" w:type="dxa"/>
            </w:tcMar>
          </w:tcPr>
          <w:p>
            <w:r>
              <w:rPr>
                <w:rFonts w:ascii="Calibri" w:hAnsi="Calibri"/>
                <w:b/>
                <w:color w:val="FFFFFF"/>
                <w:sz w:val="18"/>
              </w:rPr>
              <w:t>Evaluation Metric</w:t>
            </w:r>
          </w:p>
        </w:tc>
        <w:tc>
          <w:tcPr>
            <w:tcW w:type="dxa" w:w="3024"/>
            <w:shd w:fill="102C57"/>
            <w:tcMar>
              <w:top w:w="60" w:type="dxa"/>
              <w:bottom w:w="60" w:type="dxa"/>
              <w:left w:w="80" w:type="dxa"/>
              <w:right w:w="80" w:type="dxa"/>
            </w:tcMar>
          </w:tcPr>
          <w:p>
            <w:r>
              <w:rPr>
                <w:rFonts w:ascii="Calibri" w:hAnsi="Calibri"/>
                <w:b/>
                <w:color w:val="FFFFFF"/>
                <w:sz w:val="18"/>
              </w:rPr>
              <w:t>Static Baseline (No SDN)</w:t>
            </w:r>
          </w:p>
        </w:tc>
        <w:tc>
          <w:tcPr>
            <w:tcW w:type="dxa" w:w="3024"/>
            <w:shd w:fill="102C57"/>
            <w:tcMar>
              <w:top w:w="60" w:type="dxa"/>
              <w:bottom w:w="60" w:type="dxa"/>
              <w:left w:w="80" w:type="dxa"/>
              <w:right w:w="80" w:type="dxa"/>
            </w:tcMar>
          </w:tcPr>
          <w:p>
            <w:r>
              <w:rPr>
                <w:rFonts w:ascii="Calibri" w:hAnsi="Calibri"/>
                <w:b/>
                <w:color w:val="FFFFFF"/>
                <w:sz w:val="18"/>
              </w:rPr>
              <w:t>Proposed (Dynamic SDN + ARQ)</w:t>
            </w:r>
          </w:p>
        </w:tc>
      </w:tr>
      <w:tr>
        <w:tc>
          <w:tcPr>
            <w:tcW w:type="dxa" w:w="3744"/>
            <w:shd w:fill="F8F9FA"/>
            <w:tcMar>
              <w:top w:w="50" w:type="dxa"/>
              <w:bottom w:w="50" w:type="dxa"/>
              <w:left w:w="80" w:type="dxa"/>
              <w:right w:w="80" w:type="dxa"/>
            </w:tcMar>
          </w:tcPr>
          <w:p>
            <w:r>
              <w:rPr>
                <w:rFonts w:ascii="Calibri" w:hAnsi="Calibri"/>
                <w:b/>
                <w:color w:val="212529"/>
                <w:sz w:val="17"/>
              </w:rPr>
              <w:t>Total Message Chunks</w:t>
            </w:r>
          </w:p>
        </w:tc>
        <w:tc>
          <w:tcPr>
            <w:tcW w:type="dxa" w:w="3024"/>
            <w:shd w:fill="F8F9FA"/>
            <w:tcMar>
              <w:top w:w="50" w:type="dxa"/>
              <w:bottom w:w="50" w:type="dxa"/>
              <w:left w:w="80" w:type="dxa"/>
              <w:right w:w="80" w:type="dxa"/>
            </w:tcMar>
          </w:tcPr>
          <w:p>
            <w:r>
              <w:rPr>
                <w:rFonts w:ascii="Calibri" w:hAnsi="Calibri"/>
                <w:color w:val="212529"/>
                <w:sz w:val="17"/>
              </w:rPr>
              <w:t>15 Chunks</w:t>
            </w:r>
          </w:p>
        </w:tc>
        <w:tc>
          <w:tcPr>
            <w:tcW w:type="dxa" w:w="3024"/>
            <w:shd w:fill="F8F9FA"/>
            <w:tcMar>
              <w:top w:w="50" w:type="dxa"/>
              <w:bottom w:w="50" w:type="dxa"/>
              <w:left w:w="80" w:type="dxa"/>
              <w:right w:w="80" w:type="dxa"/>
            </w:tcMar>
          </w:tcPr>
          <w:p>
            <w:r>
              <w:rPr>
                <w:rFonts w:ascii="Calibri" w:hAnsi="Calibri"/>
                <w:color w:val="212529"/>
                <w:sz w:val="17"/>
              </w:rPr>
              <w:t>15 Chunks</w:t>
            </w:r>
          </w:p>
        </w:tc>
      </w:tr>
      <w:tr>
        <w:tc>
          <w:tcPr>
            <w:tcW w:type="dxa" w:w="3744"/>
            <w:shd w:fill="FFFFFF"/>
            <w:tcMar>
              <w:top w:w="50" w:type="dxa"/>
              <w:bottom w:w="50" w:type="dxa"/>
              <w:left w:w="80" w:type="dxa"/>
              <w:right w:w="80" w:type="dxa"/>
            </w:tcMar>
          </w:tcPr>
          <w:p>
            <w:r>
              <w:rPr>
                <w:rFonts w:ascii="Calibri" w:hAnsi="Calibri"/>
                <w:b/>
                <w:color w:val="212529"/>
                <w:sz w:val="17"/>
              </w:rPr>
              <w:t>Primary Link Cut Injected</w:t>
            </w:r>
          </w:p>
        </w:tc>
        <w:tc>
          <w:tcPr>
            <w:tcW w:type="dxa" w:w="3024"/>
            <w:shd w:fill="FFFFFF"/>
            <w:tcMar>
              <w:top w:w="50" w:type="dxa"/>
              <w:bottom w:w="50" w:type="dxa"/>
              <w:left w:w="80" w:type="dxa"/>
              <w:right w:w="80" w:type="dxa"/>
            </w:tcMar>
          </w:tcPr>
          <w:p>
            <w:r>
              <w:rPr>
                <w:rFonts w:ascii="Calibri" w:hAnsi="Calibri"/>
                <w:color w:val="212529"/>
                <w:sz w:val="17"/>
              </w:rPr>
              <w:t>Yes (at Chunk 5)</w:t>
            </w:r>
          </w:p>
        </w:tc>
        <w:tc>
          <w:tcPr>
            <w:tcW w:type="dxa" w:w="3024"/>
            <w:shd w:fill="FFFFFF"/>
            <w:tcMar>
              <w:top w:w="50" w:type="dxa"/>
              <w:bottom w:w="50" w:type="dxa"/>
              <w:left w:w="80" w:type="dxa"/>
              <w:right w:w="80" w:type="dxa"/>
            </w:tcMar>
          </w:tcPr>
          <w:p>
            <w:r>
              <w:rPr>
                <w:rFonts w:ascii="Calibri" w:hAnsi="Calibri"/>
                <w:color w:val="212529"/>
                <w:sz w:val="17"/>
              </w:rPr>
              <w:t>Yes (at Chunk 5)</w:t>
            </w:r>
          </w:p>
        </w:tc>
      </w:tr>
      <w:tr>
        <w:tc>
          <w:tcPr>
            <w:tcW w:type="dxa" w:w="3744"/>
            <w:shd w:fill="F8F9FA"/>
            <w:tcMar>
              <w:top w:w="50" w:type="dxa"/>
              <w:bottom w:w="50" w:type="dxa"/>
              <w:left w:w="80" w:type="dxa"/>
              <w:right w:w="80" w:type="dxa"/>
            </w:tcMar>
          </w:tcPr>
          <w:p>
            <w:r>
              <w:rPr>
                <w:rFonts w:ascii="Calibri" w:hAnsi="Calibri"/>
                <w:b/>
                <w:color w:val="212529"/>
                <w:sz w:val="17"/>
              </w:rPr>
              <w:t>Network Failover Latency</w:t>
            </w:r>
          </w:p>
        </w:tc>
        <w:tc>
          <w:tcPr>
            <w:tcW w:type="dxa" w:w="3024"/>
            <w:shd w:fill="F8F9FA"/>
            <w:tcMar>
              <w:top w:w="50" w:type="dxa"/>
              <w:bottom w:w="50" w:type="dxa"/>
              <w:left w:w="80" w:type="dxa"/>
              <w:right w:w="80" w:type="dxa"/>
            </w:tcMar>
          </w:tcPr>
          <w:p>
            <w:r>
              <w:rPr>
                <w:rFonts w:ascii="Calibri" w:hAnsi="Calibri"/>
                <w:color w:val="212529"/>
                <w:sz w:val="17"/>
              </w:rPr>
              <w:t>Infinite (No alternate path)</w:t>
            </w:r>
          </w:p>
        </w:tc>
        <w:tc>
          <w:tcPr>
            <w:tcW w:type="dxa" w:w="3024"/>
            <w:shd w:fill="F8F9FA"/>
            <w:tcMar>
              <w:top w:w="50" w:type="dxa"/>
              <w:bottom w:w="50" w:type="dxa"/>
              <w:left w:w="80" w:type="dxa"/>
              <w:right w:w="80" w:type="dxa"/>
            </w:tcMar>
          </w:tcPr>
          <w:p>
            <w:r>
              <w:rPr>
                <w:rFonts w:ascii="Calibri" w:hAnsi="Calibri"/>
                <w:color w:val="212529"/>
                <w:sz w:val="17"/>
              </w:rPr>
              <w:t>&lt; 0.5 seconds</w:t>
            </w:r>
          </w:p>
        </w:tc>
      </w:tr>
      <w:tr>
        <w:tc>
          <w:tcPr>
            <w:tcW w:type="dxa" w:w="3744"/>
            <w:shd w:fill="FFFFFF"/>
            <w:tcMar>
              <w:top w:w="50" w:type="dxa"/>
              <w:bottom w:w="50" w:type="dxa"/>
              <w:left w:w="80" w:type="dxa"/>
              <w:right w:w="80" w:type="dxa"/>
            </w:tcMar>
          </w:tcPr>
          <w:p>
            <w:r>
              <w:rPr>
                <w:rFonts w:ascii="Calibri" w:hAnsi="Calibri"/>
                <w:b/>
                <w:color w:val="212529"/>
                <w:sz w:val="17"/>
              </w:rPr>
              <w:t>Retransmissions Incurred</w:t>
            </w:r>
          </w:p>
        </w:tc>
        <w:tc>
          <w:tcPr>
            <w:tcW w:type="dxa" w:w="3024"/>
            <w:shd w:fill="FFFFFF"/>
            <w:tcMar>
              <w:top w:w="50" w:type="dxa"/>
              <w:bottom w:w="50" w:type="dxa"/>
              <w:left w:w="80" w:type="dxa"/>
              <w:right w:w="80" w:type="dxa"/>
            </w:tcMar>
          </w:tcPr>
          <w:p>
            <w:r>
              <w:rPr>
                <w:rFonts w:ascii="Calibri" w:hAnsi="Calibri"/>
                <w:color w:val="212529"/>
                <w:sz w:val="17"/>
              </w:rPr>
              <w:t>8 Retries (Exhausted)</w:t>
            </w:r>
          </w:p>
        </w:tc>
        <w:tc>
          <w:tcPr>
            <w:tcW w:type="dxa" w:w="3024"/>
            <w:shd w:fill="FFFFFF"/>
            <w:tcMar>
              <w:top w:w="50" w:type="dxa"/>
              <w:bottom w:w="50" w:type="dxa"/>
              <w:left w:w="80" w:type="dxa"/>
              <w:right w:w="80" w:type="dxa"/>
            </w:tcMar>
          </w:tcPr>
          <w:p>
            <w:r>
              <w:rPr>
                <w:rFonts w:ascii="Calibri" w:hAnsi="Calibri"/>
                <w:color w:val="212529"/>
                <w:sz w:val="17"/>
              </w:rPr>
              <w:t>1 Retransmission</w:t>
            </w:r>
          </w:p>
        </w:tc>
      </w:tr>
      <w:tr>
        <w:tc>
          <w:tcPr>
            <w:tcW w:type="dxa" w:w="3744"/>
            <w:shd w:fill="F8F9FA"/>
            <w:tcMar>
              <w:top w:w="50" w:type="dxa"/>
              <w:bottom w:w="50" w:type="dxa"/>
              <w:left w:w="80" w:type="dxa"/>
              <w:right w:w="80" w:type="dxa"/>
            </w:tcMar>
          </w:tcPr>
          <w:p>
            <w:r>
              <w:rPr>
                <w:rFonts w:ascii="Calibri" w:hAnsi="Calibri"/>
                <w:b/>
                <w:color w:val="212529"/>
                <w:sz w:val="17"/>
              </w:rPr>
              <w:t>Transmission Status</w:t>
            </w:r>
          </w:p>
        </w:tc>
        <w:tc>
          <w:tcPr>
            <w:tcW w:type="dxa" w:w="3024"/>
            <w:shd w:fill="F8F9FA"/>
            <w:tcMar>
              <w:top w:w="50" w:type="dxa"/>
              <w:bottom w:w="50" w:type="dxa"/>
              <w:left w:w="80" w:type="dxa"/>
              <w:right w:w="80" w:type="dxa"/>
            </w:tcMar>
          </w:tcPr>
          <w:p>
            <w:r>
              <w:rPr>
                <w:rFonts w:ascii="Calibri" w:hAnsi="Calibri"/>
                <w:color w:val="212529"/>
                <w:sz w:val="17"/>
              </w:rPr>
              <w:t>Failed / Session Broken</w:t>
            </w:r>
          </w:p>
        </w:tc>
        <w:tc>
          <w:tcPr>
            <w:tcW w:type="dxa" w:w="3024"/>
            <w:shd w:fill="F8F9FA"/>
            <w:tcMar>
              <w:top w:w="50" w:type="dxa"/>
              <w:bottom w:w="50" w:type="dxa"/>
              <w:left w:w="80" w:type="dxa"/>
              <w:right w:w="80" w:type="dxa"/>
            </w:tcMar>
          </w:tcPr>
          <w:p>
            <w:r>
              <w:rPr>
                <w:rFonts w:ascii="Calibri" w:hAnsi="Calibri"/>
                <w:color w:val="212529"/>
                <w:sz w:val="17"/>
              </w:rPr>
              <w:t>100% Complete &amp; Delivered</w:t>
            </w:r>
          </w:p>
        </w:tc>
      </w:tr>
      <w:tr>
        <w:tc>
          <w:tcPr>
            <w:tcW w:type="dxa" w:w="3744"/>
            <w:shd w:fill="FFFFFF"/>
            <w:tcMar>
              <w:top w:w="50" w:type="dxa"/>
              <w:bottom w:w="50" w:type="dxa"/>
              <w:left w:w="80" w:type="dxa"/>
              <w:right w:w="80" w:type="dxa"/>
            </w:tcMar>
          </w:tcPr>
          <w:p>
            <w:r>
              <w:rPr>
                <w:rFonts w:ascii="Calibri" w:hAnsi="Calibri"/>
                <w:b/>
                <w:color w:val="212529"/>
                <w:sz w:val="17"/>
              </w:rPr>
              <w:t>Total Completion Time</w:t>
            </w:r>
          </w:p>
        </w:tc>
        <w:tc>
          <w:tcPr>
            <w:tcW w:type="dxa" w:w="3024"/>
            <w:shd w:fill="FFFFFF"/>
            <w:tcMar>
              <w:top w:w="50" w:type="dxa"/>
              <w:bottom w:w="50" w:type="dxa"/>
              <w:left w:w="80" w:type="dxa"/>
              <w:right w:w="80" w:type="dxa"/>
            </w:tcMar>
          </w:tcPr>
          <w:p>
            <w:r>
              <w:rPr>
                <w:rFonts w:ascii="Calibri" w:hAnsi="Calibri"/>
                <w:color w:val="212529"/>
                <w:sz w:val="17"/>
              </w:rPr>
              <w:t>Timed Out (&gt; 16.0s)</w:t>
            </w:r>
          </w:p>
        </w:tc>
        <w:tc>
          <w:tcPr>
            <w:tcW w:type="dxa" w:w="3024"/>
            <w:shd w:fill="FFFFFF"/>
            <w:tcMar>
              <w:top w:w="50" w:type="dxa"/>
              <w:bottom w:w="50" w:type="dxa"/>
              <w:left w:w="80" w:type="dxa"/>
              <w:right w:w="80" w:type="dxa"/>
            </w:tcMar>
          </w:tcPr>
          <w:p>
            <w:r>
              <w:rPr>
                <w:rFonts w:ascii="Calibri" w:hAnsi="Calibri"/>
                <w:color w:val="212529"/>
                <w:sz w:val="17"/>
              </w:rPr>
              <w:t>8.4 seconds</w:t>
            </w:r>
          </w:p>
        </w:tc>
      </w:tr>
      <w:tr>
        <w:tc>
          <w:tcPr>
            <w:tcW w:type="dxa" w:w="3744"/>
            <w:shd w:fill="F8F9FA"/>
            <w:tcMar>
              <w:top w:w="50" w:type="dxa"/>
              <w:bottom w:w="50" w:type="dxa"/>
              <w:left w:w="80" w:type="dxa"/>
              <w:right w:w="80" w:type="dxa"/>
            </w:tcMar>
          </w:tcPr>
          <w:p>
            <w:r>
              <w:rPr>
                <w:rFonts w:ascii="Calibri" w:hAnsi="Calibri"/>
                <w:b/>
                <w:color w:val="212529"/>
                <w:sz w:val="17"/>
              </w:rPr>
              <w:t>Integrity Check (CRC-32)</w:t>
            </w:r>
          </w:p>
        </w:tc>
        <w:tc>
          <w:tcPr>
            <w:tcW w:type="dxa" w:w="3024"/>
            <w:shd w:fill="F8F9FA"/>
            <w:tcMar>
              <w:top w:w="50" w:type="dxa"/>
              <w:bottom w:w="50" w:type="dxa"/>
              <w:left w:w="80" w:type="dxa"/>
              <w:right w:w="80" w:type="dxa"/>
            </w:tcMar>
          </w:tcPr>
          <w:p>
            <w:r>
              <w:rPr>
                <w:rFonts w:ascii="Calibri" w:hAnsi="Calibri"/>
                <w:color w:val="212529"/>
                <w:sz w:val="17"/>
              </w:rPr>
              <w:t>Truncated / Corrupted</w:t>
            </w:r>
          </w:p>
        </w:tc>
        <w:tc>
          <w:tcPr>
            <w:tcW w:type="dxa" w:w="3024"/>
            <w:shd w:fill="F8F9FA"/>
            <w:tcMar>
              <w:top w:w="50" w:type="dxa"/>
              <w:bottom w:w="50" w:type="dxa"/>
              <w:left w:w="80" w:type="dxa"/>
              <w:right w:w="80" w:type="dxa"/>
            </w:tcMar>
          </w:tcPr>
          <w:p>
            <w:r>
              <w:rPr>
                <w:rFonts w:ascii="Calibri" w:hAnsi="Calibri"/>
                <w:color w:val="212529"/>
                <w:sz w:val="17"/>
              </w:rPr>
              <w:t>100% In-Order Match</w:t>
            </w:r>
          </w:p>
        </w:tc>
      </w:tr>
    </w:tbl>
    <w:p>
      <w:pPr>
        <w:keepNext/>
        <w:spacing w:before="280" w:after="80"/>
      </w:pPr>
      <w:r>
        <w:rPr>
          <w:rFonts w:ascii="Calibri" w:hAnsi="Calibri"/>
          <w:b/>
          <w:color w:val="102C57"/>
          <w:sz w:val="27"/>
        </w:rPr>
        <w:t>6. REPRODUCTION INSTRUCTIONS</w:t>
      </w:r>
    </w:p>
    <w:p>
      <w:pPr>
        <w:spacing w:after="80" w:line="276" w:lineRule="auto"/>
      </w:pPr>
      <w:r>
        <w:rPr>
          <w:rFonts w:ascii="Calibri" w:hAnsi="Calibri"/>
          <w:color w:val="212529"/>
          <w:sz w:val="21"/>
        </w:rPr>
        <w:t>1. Clone the project repository and enter the directory:</w:t>
        <w:br/>
        <w:t xml:space="preserve">    git clone https://github.com/&lt;your-username&gt;/&lt;your-repo-name&gt;.git &amp;&amp; cd sdn-socket-project</w:t>
        <w:br/>
        <w:t>2. Start Mininet with the multi-path topology:</w:t>
        <w:br/>
        <w:t xml:space="preserve">    sudo mn -c &amp;&amp; sudo python3 topology.py</w:t>
        <w:br/>
        <w:t>3. Start the SDN controller in a second terminal:</w:t>
        <w:br/>
        <w:t xml:space="preserve">    sudo python3 sdn_controller.py</w:t>
        <w:br/>
        <w:t>4. Spawn host shells in Mininet ('xterm h1 h2') and launch:</w:t>
        <w:br/>
        <w:t xml:space="preserve">    h2 terminal: python3 receiver.py</w:t>
        <w:br/>
        <w:t xml:space="preserve">    h1 terminal: python3 sender.py</w:t>
        <w:br/>
        <w:t>5. Inject link failure during active streaming: mininet&gt; link s1 s2 down</w:t>
      </w:r>
    </w:p>
    <w:p>
      <w:pPr>
        <w:keepNext/>
        <w:spacing w:before="280" w:after="80"/>
      </w:pPr>
      <w:r>
        <w:rPr>
          <w:rFonts w:ascii="Calibri" w:hAnsi="Calibri"/>
          <w:b/>
          <w:color w:val="102C57"/>
          <w:sz w:val="27"/>
        </w:rPr>
        <w:t>7. CONCLUSION</w:t>
      </w:r>
    </w:p>
    <w:p>
      <w:pPr>
        <w:spacing w:after="80" w:line="276" w:lineRule="auto"/>
      </w:pPr>
      <w:r>
        <w:rPr>
          <w:rFonts w:ascii="Calibri" w:hAnsi="Calibri"/>
          <w:color w:val="212529"/>
          <w:sz w:val="21"/>
        </w:rPr>
        <w:t>This project successfully integrated low-level UDP socket programming with Software-Defined Networking. The application-level Stop-and-Wait protocol ensures zero data loss, CRC-32 integrity validation, and duplicate rejection. Simultaneously, the SDN control plane provides sub-second network self-healing by detecting interface state transitions and rewriting OpenFlow 1.3 flow tables. Together, they demonstrate robust, fault-tolerant communication over an unreliable network fabric.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