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Alberta koledža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Studiju programma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     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VĀRDS UZVĀRDS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Runas retoriskā analīze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Rīga – 2024</w:t>
      </w:r>
    </w:p>
    <w:p>
      <w:pPr/>
      <w:r>
        <w:rPr>
          <w:rFonts w:ascii="Times" w:hAnsi="Times" w:cs="Times"/>
          <w:sz w:val="28"/>
          <w:sz-cs w:val="28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Runas / raksta retoriskas analīzes plāns</w:t>
      </w:r>
    </w:p>
    <w:p>
      <w:pPr/>
      <w:r>
        <w:rPr>
          <w:rFonts w:ascii="Times" w:hAnsi="Times" w:cs="Times"/>
          <w:sz w:val="24"/>
          <w:sz-cs w:val="24"/>
        </w:rPr>
        <w:t xml:space="preserve">Runas vēlamais ilgums – </w:t>
      </w:r>
      <w:r>
        <w:rPr>
          <w:rFonts w:ascii="Times" w:hAnsi="Times" w:cs="Times"/>
          <w:sz w:val="24"/>
          <w:sz-cs w:val="24"/>
          <w:b/>
        </w:rPr>
        <w:t xml:space="preserve">20-40 min</w:t>
      </w:r>
      <w:r>
        <w:rPr>
          <w:rFonts w:ascii="Times" w:hAnsi="Times" w:cs="Times"/>
          <w:sz w:val="24"/>
          <w:sz-cs w:val="24"/>
        </w:rPr>
        <w:t xml:space="preserve">. Retoriskās analīzes vēlamais apjoms – </w:t>
      </w:r>
      <w:r>
        <w:rPr>
          <w:rFonts w:ascii="Times" w:hAnsi="Times" w:cs="Times"/>
          <w:sz w:val="24"/>
          <w:sz-cs w:val="24"/>
          <w:b/>
        </w:rPr>
        <w:t xml:space="preserve">2-3 lpp</w:t>
      </w:r>
      <w:r>
        <w:rPr>
          <w:rFonts w:ascii="Times" w:hAnsi="Times" w:cs="Times"/>
          <w:sz w:val="24"/>
          <w:sz-cs w:val="24"/>
        </w:rPr>
        <w:t xml:space="preserve">. Runas analīzē obligāti jāizmanto </w:t>
      </w:r>
      <w:r>
        <w:rPr>
          <w:rFonts w:ascii="Times" w:hAnsi="Times" w:cs="Times"/>
          <w:sz w:val="24"/>
          <w:sz-cs w:val="24"/>
          <w:b/>
        </w:rPr>
        <w:t xml:space="preserve">3 teorētiski avoti</w:t>
      </w:r>
      <w:r>
        <w:rPr>
          <w:rFonts w:ascii="Times" w:hAnsi="Times" w:cs="Times"/>
          <w:sz w:val="24"/>
          <w:sz-cs w:val="24"/>
        </w:rPr>
        <w:t xml:space="preserve"> [iespējams izmantot </w:t>
      </w:r>
      <w:r>
        <w:rPr>
          <w:rFonts w:ascii="Times" w:hAnsi="Times" w:cs="Times"/>
          <w:sz w:val="24"/>
          <w:sz-cs w:val="24"/>
          <w:i/>
        </w:rPr>
        <w:t xml:space="preserve">Moodle</w:t>
      </w:r>
      <w:r>
        <w:rPr>
          <w:rFonts w:ascii="Times" w:hAnsi="Times" w:cs="Times"/>
          <w:sz w:val="24"/>
          <w:sz-cs w:val="24"/>
        </w:rPr>
        <w:t xml:space="preserve"> avotus, kas ir ievietoti sadaļā Informatīvie materiāli]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C0504D"/>
        </w:rPr>
        <w:t xml:space="preserve"/>
        <w:tab/>
        <w:t xml:space="preserve">•</w:t>
        <w:tab/>
        <w:t xml:space="preserve">Norādiet runas vai teksta saiti: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C0504D"/>
        </w:rPr>
        <w:t xml:space="preserve"/>
        <w:tab/>
        <w:t xml:space="preserve">•</w:t>
        <w:tab/>
        <w:t xml:space="preserve">Raksturojiet runas / teksta struktūru: </w:t>
      </w:r>
    </w:p>
    <w:p>
      <w:pPr/>
      <w:r>
        <w:rPr>
          <w:rFonts w:ascii="Times" w:hAnsi="Times" w:cs="Times"/>
          <w:sz w:val="24"/>
          <w:sz-cs w:val="24"/>
          <w:b/>
          <w:color w:val="C0504D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F497D"/>
        </w:rPr>
        <w:t xml:space="preserve"/>
        <w:tab/>
        <w:t xml:space="preserve">•</w:t>
        <w:tab/>
        <w:t xml:space="preserve">IEVADS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Uzmanības piesaistīšana</w:t>
      </w:r>
      <w:r>
        <w:rPr>
          <w:rFonts w:ascii="Times New Roman" w:hAnsi="Times New Roman" w:cs="Times New Roman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  <w:i/>
        </w:rPr>
        <w:t xml:space="preserve">pauze, empātija, tempa un tonalitātes maiņa, runas pavēles, ekspresija, apelācija (citāts), pārsteigums</w:t>
      </w:r>
      <w:r>
        <w:rPr>
          <w:rFonts w:ascii="Times New Roman" w:hAnsi="Times New Roman" w:cs="Times New Roman"/>
          <w:sz w:val="24"/>
          <w:sz-cs w:val="24"/>
        </w:rPr>
        <w:t xml:space="preserve">) un auditorijas specifikas ievērošana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Sasveicināšanās</w:t>
      </w:r>
      <w:r>
        <w:rPr>
          <w:rFonts w:ascii="Times New Roman" w:hAnsi="Times New Roman" w:cs="Times New Roman"/>
          <w:sz w:val="24"/>
          <w:sz-cs w:val="24"/>
        </w:rPr>
        <w:t xml:space="preserve"> (formāla, pusformāla, neformāla)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Tēma</w:t>
      </w:r>
      <w:r>
        <w:rPr>
          <w:rFonts w:ascii="Times New Roman" w:hAnsi="Times New Roman" w:cs="Times New Roman"/>
          <w:sz w:val="24"/>
          <w:sz-cs w:val="24"/>
        </w:rPr>
        <w:t xml:space="preserve"> (īss formulējums un – pēc nepieciešamības – skaidrojums)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Plāns</w:t>
      </w:r>
      <w:r>
        <w:rPr>
          <w:rFonts w:ascii="Times New Roman" w:hAnsi="Times New Roman" w:cs="Times New Roman"/>
          <w:sz w:val="24"/>
          <w:sz-cs w:val="24"/>
        </w:rPr>
        <w:t xml:space="preserve"> (ritma veidošana ar reglamenta elementiem)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F497D"/>
        </w:rPr>
        <w:t xml:space="preserve"/>
        <w:tab/>
        <w:t xml:space="preserve">•</w:t>
        <w:tab/>
        <w:t xml:space="preserve">IZTIRZĀJUMS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Stāstījuma </w:t>
      </w:r>
      <w:r>
        <w:rPr>
          <w:rFonts w:ascii="Times New Roman" w:hAnsi="Times New Roman" w:cs="Times New Roman"/>
          <w:sz w:val="24"/>
          <w:sz-cs w:val="24"/>
          <w:b/>
        </w:rPr>
        <w:t xml:space="preserve">struktūras</w:t>
      </w:r>
      <w:r>
        <w:rPr>
          <w:rFonts w:ascii="Times New Roman" w:hAnsi="Times New Roman" w:cs="Times New Roman"/>
          <w:sz w:val="24"/>
          <w:sz-cs w:val="24"/>
        </w:rPr>
        <w:t xml:space="preserve"> = 1) kas, ko, kur, kad, kāpēc; 2) jaunums un tā iespējas / priekšrocības; 3) jaunā un vecā / A un B salīdzinājums, 3) lejupvērstā argumentācija (vājākais arguments sākumā, spēcīgāks arguments, visspēcigākais arguments beigās), 4) augšupvērstā argumentācija (visspēcīgākais arguments no sākuma, vājāks arguments, visvājākais arguments).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Argumentu</w:t>
      </w:r>
      <w:r>
        <w:rPr>
          <w:rFonts w:ascii="Times New Roman" w:hAnsi="Times New Roman" w:cs="Times New Roman"/>
          <w:sz w:val="24"/>
          <w:sz-cs w:val="24"/>
        </w:rPr>
        <w:t xml:space="preserve"> un </w:t>
      </w:r>
      <w:r>
        <w:rPr>
          <w:rFonts w:ascii="Times New Roman" w:hAnsi="Times New Roman" w:cs="Times New Roman"/>
          <w:sz w:val="24"/>
          <w:sz-cs w:val="24"/>
          <w:b/>
        </w:rPr>
        <w:t xml:space="preserve">sofismu </w:t>
      </w:r>
      <w:r>
        <w:rPr>
          <w:rFonts w:ascii="Times New Roman" w:hAnsi="Times New Roman" w:cs="Times New Roman"/>
          <w:sz w:val="24"/>
          <w:sz-cs w:val="24"/>
        </w:rPr>
        <w:t xml:space="preserve">lietošanas veiksmes un neveiksmes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Izteiksmes līdzekļu </w:t>
      </w:r>
      <w:r>
        <w:rPr>
          <w:rFonts w:ascii="Times New Roman" w:hAnsi="Times New Roman" w:cs="Times New Roman"/>
          <w:sz w:val="24"/>
          <w:sz-cs w:val="24"/>
        </w:rPr>
        <w:t xml:space="preserve">lietošana (</w:t>
      </w:r>
      <w:r>
        <w:rPr>
          <w:rFonts w:ascii="Times New Roman" w:hAnsi="Times New Roman" w:cs="Times New Roman"/>
          <w:sz w:val="24"/>
          <w:sz-cs w:val="24"/>
          <w:i/>
        </w:rPr>
        <w:t xml:space="preserve">epitets, salīdzinājums, metafora, hiperbola, personifikācija, gradācija, inversija</w:t>
      </w:r>
      <w:r>
        <w:rPr>
          <w:rFonts w:ascii="Times New Roman" w:hAnsi="Times New Roman" w:cs="Times New Roman"/>
          <w:sz w:val="24"/>
          <w:sz-cs w:val="24"/>
        </w:rPr>
        <w:t xml:space="preserve">)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un </w:t>
      </w:r>
      <w:r>
        <w:rPr>
          <w:rFonts w:ascii="Times New Roman" w:hAnsi="Times New Roman" w:cs="Times New Roman"/>
          <w:sz w:val="24"/>
          <w:sz-cs w:val="24"/>
          <w:b/>
        </w:rPr>
        <w:t xml:space="preserve">citātu izmantošana: </w:t>
      </w:r>
      <w:r>
        <w:rPr>
          <w:rFonts w:ascii="Times New Roman" w:hAnsi="Times New Roman" w:cs="Times New Roman"/>
          <w:sz w:val="24"/>
          <w:sz-cs w:val="24"/>
        </w:rPr>
        <w:t xml:space="preserve">veiksmes un neveiksmes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F497D"/>
        </w:rPr>
        <w:t xml:space="preserve"/>
        <w:tab/>
        <w:t xml:space="preserve">•</w:t>
        <w:tab/>
        <w:t xml:space="preserve">NOBEIGUMS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Pārformulēti un saīsināti (vispārināti, pārdefinēti, akcentēti) galvenie argumenti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Pateicība(s)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Aicinājums uzdot jautājumus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F497D"/>
        </w:rPr>
        <w:t xml:space="preserve"/>
        <w:tab/>
        <w:t xml:space="preserve">•</w:t>
        <w:tab/>
        <w:t xml:space="preserve">ATGRIEZENISKĀ SAITE (tikai runām)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Replika</w:t>
      </w:r>
      <w:r>
        <w:rPr>
          <w:rFonts w:ascii="Times" w:hAnsi="Times" w:cs="Times"/>
          <w:sz w:val="24"/>
          <w:sz-cs w:val="24"/>
        </w:rPr>
        <w:t xml:space="preserve">: neparedz atbildi, bet reakciju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Aizrādījums, iebildums</w:t>
      </w:r>
      <w:r>
        <w:rPr>
          <w:rFonts w:ascii="Times" w:hAnsi="Times" w:cs="Times"/>
          <w:sz w:val="24"/>
          <w:sz-cs w:val="24"/>
        </w:rPr>
        <w:t xml:space="preserve">: neparedz atbildi, bet reakciju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Jautājums</w:t>
      </w:r>
      <w:r>
        <w:rPr>
          <w:rFonts w:ascii="Times" w:hAnsi="Times" w:cs="Times"/>
          <w:sz w:val="24"/>
          <w:sz-cs w:val="24"/>
        </w:rPr>
        <w:t xml:space="preserve">: paredz izvērstu vai kompaktu atbildi  pēc būtības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C0504D"/>
        </w:rPr>
        <w:t xml:space="preserve"/>
        <w:tab/>
        <w:t xml:space="preserve">•</w:t>
        <w:tab/>
        <w:t xml:space="preserve">Raksturojiet neverbālo tekstu (tikai runām):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  <w:tab/>
        <w:t xml:space="preserve">•</w:t>
        <w:tab/>
        <w:t xml:space="preserve">Ķermeņa valoda</w:t>
      </w:r>
      <w:r>
        <w:rPr>
          <w:rFonts w:ascii="Times New Roman" w:hAnsi="Times New Roman" w:cs="Times New Roman"/>
          <w:sz w:val="24"/>
          <w:sz-cs w:val="24"/>
        </w:rPr>
        <w:t xml:space="preserve"> atbilst vai neatbilst tekstam un emocijām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  <w:tab/>
        <w:t xml:space="preserve">•</w:t>
        <w:tab/>
        <w:t xml:space="preserve">Temps </w:t>
      </w:r>
      <w:r>
        <w:rPr>
          <w:rFonts w:ascii="Times New Roman" w:hAnsi="Times New Roman" w:cs="Times New Roman"/>
          <w:sz w:val="24"/>
          <w:sz-cs w:val="24"/>
        </w:rPr>
        <w:t xml:space="preserve">sākumā un beigās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  <w:tab/>
        <w:t xml:space="preserve">•</w:t>
        <w:tab/>
        <w:t xml:space="preserve">Veiksmīgāko un neveiksmīgāko žestu, pozu, kustību utt. </w:t>
      </w:r>
      <w:r>
        <w:rPr>
          <w:rFonts w:ascii="Times New Roman" w:hAnsi="Times New Roman" w:cs="Times New Roman"/>
          <w:sz w:val="24"/>
          <w:sz-cs w:val="24"/>
        </w:rPr>
        <w:t xml:space="preserve">ilustrācijas un komentāri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  <w:tab/>
        <w:t xml:space="preserve">•</w:t>
        <w:tab/>
        <w:t xml:space="preserve">Veiksmīgāko un neveiksmīgāko slaidu, attēlu, infografikas utt. </w:t>
      </w:r>
      <w:r>
        <w:rPr>
          <w:rFonts w:ascii="Times New Roman" w:hAnsi="Times New Roman" w:cs="Times New Roman"/>
          <w:sz w:val="24"/>
          <w:sz-cs w:val="24"/>
        </w:rPr>
        <w:t xml:space="preserve">ilustrācijas un komentāri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C0504D"/>
        </w:rPr>
        <w:t xml:space="preserve">KOPSAVILKUMS: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C0504D"/>
        </w:rPr>
        <w:t xml:space="preserve"/>
        <w:tab/>
        <w:t xml:space="preserve">•</w:t>
        <w:tab/>
        <w:t xml:space="preserve">Vai runa kopumā bijusi veiksmīga/nevieksmīga?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C0504D"/>
        </w:rPr>
        <w:t xml:space="preserve"/>
        <w:tab/>
        <w:t xml:space="preserve">•</w:t>
        <w:tab/>
        <w:t xml:space="preserve">Kādi galvenie iemesli runas veiksmei/neveiksmei?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C0504D"/>
        </w:rPr>
        <w:t xml:space="preserve"/>
        <w:tab/>
        <w:t xml:space="preserve">•</w:t>
        <w:tab/>
        <w:t xml:space="preserve">Kādi galvenie komunikācijas riski ājā runā/tekstā?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C0504D"/>
        </w:rPr>
        <w:t xml:space="preserve"/>
        <w:tab/>
        <w:t xml:space="preserve">•</w:t>
        <w:tab/>
        <w:t xml:space="preserve">Kā iespējams šo runu uzlabot?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C0504D"/>
        </w:rPr>
        <w:t xml:space="preserve"/>
        <w:tab/>
        <w:t xml:space="preserve">•</w:t>
        <w:tab/>
        <w:t xml:space="preserve">Ko manas profesijas speciālists var mācīties no šīs runas/tekstā?</w:t>
      </w:r>
    </w:p>
    <w:sectPr>
      <w:pgSz w:w="11900" w:h="16840"/>
      <w:pgMar w:top="1440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</cp:coreProperties>
</file>

<file path=docProps/meta.xml><?xml version="1.0" encoding="utf-8"?>
<meta xmlns="http://schemas.apple.com/cocoa/2006/metadata">
  <generator>CocoaOOXMLWriter/2575.5</generator>
</meta>
</file>