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ArticleTitle"/>
      </w:pPr>
      <w:r>
        <w:t xml:space="preserve">Os intergalácticos: a direita que vota em Lula com vergonha de dizer</w:t>
      </w:r>
    </w:p>
    <w:p>
      <w:pPr>
        <w:pStyle w:val="Subtitle2"/>
      </w:pPr>
      <w:r>
        <w:rPr>
          <w:i/>
          <w:iCs/>
        </w:rPr>
        <w:t xml:space="preserve">A Quaest entregou o mapa do tesouro de 2026. O perigo de Flávio Bolsonaro não está no Planalto: está no chá de alfazema de quem pedirá voto nulo em novembro.</w:t>
      </w:r>
    </w:p>
    <w:p>
      <w:pPr>
        <w:pStyle w:val="Body"/>
      </w:pPr>
      <w:r>
        <w:t xml:space="preserve">Primeiro, o devido ao trabalho. A Quaest fez o melhor campo deste ciclo: entrevistador batendo de porta em porta, 120 municípios sorteados, amostra com a cara do eleitor real, quase ao decimal. E justamente por isso o resto pesa mais. A margem de erro divulgada, ±2 pontos, vale para um tipo de sorteio que eles não fizeram. É como anunciar o consumo de gasolina de um carro testado em pista lisa de fábrica quando o carro roda em estrada de terra: o número é verdadeiro no papel e falso na vida. Refeita a conta para o sorteio que a pesquisa de fato fez, a margem honesta fica entre ±3 e ±3,5 pontos, e com ela o "Lula 44 x 38" do segundo turno deixa de ser manchete e vira hipótese, com empate dentro da conta. Não acabou. A Quaest perguntou ao eleitor se Bolsonaro deveria trocar Flávio de candidato, por quem, o que ele acha de Trump e o que muda se Trump apoiar Flávio. São as perguntas Q61 a Q67, todas aplicadas, gravadas e pagas. Nenhuma apareceu no relatório público. E quem pagou foi o Banco Genial, R$ 433.255,92, nota fiscal 353, um banco cujos fundos foram citados em operação da Polícia Federal sobre dinheiro do PCC, enquanto o próprio questionário pergunta ao eleitor se o PCC é organização terrorista. Sessenta por cento dizem que sim. O eleitor respondeu. O banco ainda deve a sua resposta.</w:t>
      </w:r>
    </w:p>
    <w:p>
      <w:pPr>
        <w:pStyle w:val="SectionHead"/>
      </w:pPr>
      <w:r>
        <w:t xml:space="preserve">A caixa-preta de R$ 433 mil</w:t>
      </w:r>
    </w:p>
    <w:p>
      <w:pPr>
        <w:pStyle w:val="Body"/>
      </w:pPr>
      <w:r>
        <w:t xml:space="preserve">Aqui cabe dizer o que ninguém diz: o problema não é só desta pesquisa, é do que as pesquisas brasileiras decidiram nunca publicar. Qualquer levantamento sério no mundo civilizado disponibiliza microdados anonimizados, a planilha crua, sem nome de ninguém, para que qualquer pesquisador refaça as contas. Aqui, nada. Publica-se uma margem de erro única para a pesquisa inteira, quando cada resposta e cada cruzamento têm a sua: um recorte de 200 entrevistados carrega margem de ±7 pontos, não de ±2, e nenhum asterisco avisa o leitor que aquela tabela de evangélicos do Nordeste é quase um chute educado. Não se publicam os pesos finais nem os alvos de calibração, ou seja, quanto cada entrevistado foi inflado ou encolhido para a amostra parecer o Brasil. Não se publica o efeito de desenho, o número que separa a margem de vitrine da margem de verdade. Não se publica a matriz de transição do primeiro para o segundo turno, que mostraria de quem Flávio rouba e para quem Lula perde. E não se publica, caso Q61 a Q67, nem sequer a lista do que foi perguntado e sumiu. Pesquisa registrada no TSE é bem público com nota fiscal privada: o contratante paga pela coleta, mas o resultado pertence ao eleitor, que é o objeto e o destinatário do exercício. Sem microdados, sem pesos, sem margens por recorte e sem o questionário íntegro com todas as respostas, o que se publica não é ciência. É press release com tabela.</w:t>
      </w:r>
    </w:p>
    <w:p>
      <w:pPr>
        <w:pStyle w:val="Body"/>
      </w:pPr>
      <w:r>
        <w:t xml:space="preserve">Feita a ressalva, vamos ao que a pesquisa revela sem querer.</w:t>
      </w:r>
    </w:p>
    <w:p>
      <w:pPr>
        <w:pStyle w:val="SectionHead"/>
      </w:pPr>
      <w:r>
        <w:t xml:space="preserve">O meio voto no L</w:t>
      </w:r>
    </w:p>
    <w:p>
      <w:pPr>
        <w:pStyle w:val="Body"/>
      </w:pPr>
      <w:r>
        <w:t xml:space="preserve">Intergaláctico é a direita limpinha. Aquela que quer os votos de Bolsonaro sem o incômodo do Bolsonaro. Que passa o ciclo sabotando por dentro, de mãos dadas com a esquerda, e que no segundo turno descobrirá uma questão de princípios e pedirá voto nulo do alto do seu chá de alfazema.</w:t>
      </w:r>
    </w:p>
    <w:p>
      <w:pPr>
        <w:pStyle w:val="Body"/>
      </w:pPr>
      <w:r>
        <w:t xml:space="preserve">A aritmética que esse pessoal finge não entender cabe numa linha: voto nulo não é neutro. Quando o eleitor antipetista anula, ele sai da conta dos votos válidos, e o voto de Lula, cravado em 44, passa a pesar mais na divisão. Nulo de eleitor de direita é meio voto no L. Sempre.</w:t>
      </w:r>
    </w:p>
    <w:p>
      <w:pPr>
        <w:pStyle w:val="Body"/>
      </w:pPr>
      <w:r>
        <w:t xml:space="preserve">A Quaest mostra o estrago em gestação. Branco e nulo sobem de 9% no primeiro turno para 14% no segundo. Esse delta de 5 pontos tem digitais, e elas não são do petista. São do Zemula, o eleitor que vota Zema no primeiro e Lula no segundo, e de seus primos Zemulo e Zemanco, que preferem o nulo ou o branco e chegam ao mesmo resultado por caminho mais elegante.</w:t>
      </w:r>
    </w:p>
    <w:p>
      <w:pPr>
        <w:pStyle w:val="Body"/>
      </w:pPr>
      <w:r>
        <w:t xml:space="preserve">E parte do centrão nem se dará ao trabalho do disfarce: irá direto ao palanque de Lula. Kassab costurar a transferência pelo lado de Caiado não é hipótese maluca, é roteiro com precedente. O Caiadula está logo ali. O Cassabaiadula, a uma dose de chá de alfazema.</w:t>
      </w:r>
    </w:p>
    <w:p>
      <w:pPr>
        <w:pStyle w:val="SectionHead"/>
      </w:pPr>
      <w:r>
        <w:t xml:space="preserve">O balanço de massa</w:t>
      </w:r>
    </w:p>
    <w:p>
      <w:pPr>
        <w:pStyle w:val="Body"/>
      </w:pPr>
      <w:r>
        <w:t xml:space="preserve">A Quaest não publica matriz de transição, então fiz o que a contabilidade manda: balanço de massa. Primeiro turno, Lula 39, Flávio 29. Segundo turno, 44 a 38. Flávio ganha 9 pontos, o maior salto de qualquer candidato em qualquer cenário. Lula ganha 5. E 18 pontos terminam fora da escolha: 14 de branco e nulo, 4 de indecisos. Entre os independentes, 39% recusam os dois.</w:t>
      </w:r>
    </w:p>
    <w:p>
      <w:pPr>
        <w:pStyle w:val="Body"/>
      </w:pPr>
      <w:r>
        <w:t xml:space="preserve">Contra Lula, Flávio faz 38. Zema e Caiado fazem 35. Renan, 31. Lula fica estacionado em 44 ou 45 contra qualquer um, operando a 98% do próprio potencial, com 53% de rejeição e um governo desaprovado por 48%. A frase que resume a eleição: Lula administra estoque, a direita disputa fluxo.</w:t>
      </w:r>
    </w:p>
    <w:p>
      <w:pPr>
        <w:pStyle w:val="Body"/>
      </w:pPr>
      <w:r>
        <w:t xml:space="preserve">E a física da vitória: do bolo fora do binário, Flávio captura hoje na razão de 1,8 para 1 e perde por um fio. Elevada a razão a 2,5 para 1, vence por 49 a 43. E o multiplicador dessa razão é um só: rejeição. Flávio tem 56%; levá-la abaixo de 47% é a métrica-mãe.</w:t>
      </w:r>
    </w:p>
    <w:p>
      <w:pPr>
        <w:pStyle w:val="SectionHead"/>
      </w:pPr>
      <w:r>
        <w:t xml:space="preserve">Primeiro turno: matar a terceira via antes de setembro</w:t>
      </w:r>
    </w:p>
    <w:p>
      <w:pPr>
        <w:pStyle w:val="Body"/>
      </w:pPr>
      <w:r>
        <w:t xml:space="preserve">Os 9 pontos do segundo turno já são de Flávio. Só ainda não sabem disso. A missão é antecipá-los: de 29 para 35 ou mais, em quatro fases.</w:t>
      </w:r>
    </w:p>
    <w:p>
      <w:pPr>
        <w:pStyle w:val="Body"/>
      </w:pPr>
      <w:r>
        <w:t xml:space="preserve">Junho e julho, fase ímã: zero ataque a Zema, Caiado e Renan, elogio seletivo, porque atacar agora só os consolida. Agosto, fase pinça: vice, ministérios e palanques na mesa, Tarcísio como primeira opção de chapa, Zema como segunda com a Fazenda chancelada, e adesões pré-assinadas para anúncio em 72 horas após a urna. Quem espera o resultado para negociar, negocia de joelhos. Setembro, voto útil explícito: o ataque nunca é ao candidato, é à inutilidade do voto, porque só um nome chega. Última semana, pânico controlado.</w:t>
      </w:r>
    </w:p>
    <w:p>
      <w:pPr>
        <w:pStyle w:val="Body"/>
      </w:pPr>
      <w:r>
        <w:t xml:space="preserve">No mapa, sangrar o Nordeste em foco, onde cada ponto vale 0,28 nacional: Ceará com segurança e facções, Pernambuco neutralizando a máquina de prefeitos, oeste baiano com o agro. São Paulo é o cofre, com Tarcísio e a periferia evangélica. Amazonas, Zona Franca em voz alta. E Minas é capítulo à parte.</w:t>
      </w:r>
    </w:p>
    <w:p>
      <w:pPr>
        <w:pStyle w:val="SectionHead"/>
      </w:pPr>
      <w:r>
        <w:t xml:space="preserve">Minas, o estado que desempata o Brasil</w:t>
      </w:r>
    </w:p>
    <w:p>
      <w:pPr>
        <w:pStyle w:val="Body"/>
      </w:pPr>
      <w:r>
        <w:t xml:space="preserve">Minas Gerais pesa 10,4% do eleitorado e carrega uma lei não escrita que nenhum candidato revogou: desde 1989, ninguém chega ao Planalto perdendo em Minas. É o fiel da balança nacional e, hoje, a capital mundial do voto Zemula, com suas variantes Zemulo e Zemanco, que trocam o Lula pelo nulo ou pelo branco e entregam o mesmo resultado com a consciência lavada. O Sudeste inteiro pende para Lula por causa de Minas e das capitais; quem estanca o Zemula vira a região, e quem vira a região vira o país.</w:t>
      </w:r>
    </w:p>
    <w:p>
      <w:pPr>
        <w:pStyle w:val="Body"/>
      </w:pPr>
      <w:r>
        <w:t xml:space="preserve">O trabalho ali é fino e tem nome e sobrenome. Nikolas Ferreira precisa entrar de cabeça na campanha estadual, com Cleitinho e a bancada mineira, e a missão não é atacar o chá de alfazema, é torná-lo socialmente impossível, em Belo Horizonte, na periferia evangélica da região metropolitana e no interior que decide: Triângulo, Sul de Minas e Zona da Mata viram o estado. Quanto a Zema, a conta é contraintuitiva: Zema no palanque vale mais que Zema na chapa. Como fiador fiscal, chancelando o nome da Fazenda, ele entrega credibilidade econômica sem cobrar o ônus dinástico que a vice cobraria. E o que vale para Minas vale para Goiás, onde a mesma vigília precisa ser montada contra o Caiadula, com Kassab já de garçom, bandeja na mão, pronto para servir a transferência ao palanque governista.</w:t>
      </w:r>
    </w:p>
    <w:p>
      <w:pPr>
        <w:pStyle w:val="SectionHead"/>
      </w:pPr>
      <w:r>
        <w:t xml:space="preserve">Segundo turno: o plebiscito do custo</w:t>
      </w:r>
    </w:p>
    <w:p>
      <w:pPr>
        <w:pStyle w:val="Body"/>
      </w:pPr>
      <w:r>
        <w:t xml:space="preserve">O segundo turno deve ser plebiscito sobre um governo desaprovado por 48%, não referendo sobre um sobrenome. A disputa real é pelos 18% órfãos. A rejeição cai por dissonância, não por grito: tom técnico, agenda social com Michelle, zero resposta a provocação. A blindagem do caso Master está no próprio dado da Quaest: o dano marginal real é 12%, não 65%, porque metade já não votaria nele de qualquer forma. E mobilização assimétrica na reta final, porque voto que fica em casa também é meio voto no L.</w:t>
      </w:r>
    </w:p>
    <w:p>
      <w:pPr>
        <w:pStyle w:val="Body"/>
      </w:pPr>
      <w:r>
        <w:t xml:space="preserve">E há a engenharia anti-nulo, que merece parágrafo próprio porque vale a eleição. A resposta certa não é xingar o eleitor das tribos, é separar o eleitor do dono. O eleitor do Novo quer planilha, o de Caiado quer ordem, o do MBL quer não se ajoelhar: um pacote para cada um, uma ponte para todos. A mensagem de custo precisa sair da boca de vozes não bolsonaristas, jornalistas independentes, pastores moderados, dizendo a verdade aritmética sem culpar ninguém: anular é deixar quem está na frente decidir a sua vida, e quem pede nulo contra o Lula está pedindo voto para o Lula com vergonha de dizer. Antes de tudo, 12 grupos focais só com anuladores, em São Paulo, Belo Horizonte, Recife e Porto Alegre, para responder à pergunta que calibra a campanha inteira: o veto a Flávio é moral ou é de capacidade? Se for moral, a resposta é blindagem Master e tom. Se for de capacidade, é equipe econômica completa anunciada antes do voto, com Tarcísio e Zema de fiadores. A meta tem número: branco e nulo de 14 para menos de 10 no segundo turno, porque cada ponto convertido vale cerca de 0,6 líquido na diferença. O intergaláctico vive de sequestrar voto de direita; a campanha vive de devolvê-lo ao verdadeiro dono, que é o eleitor.</w:t>
      </w:r>
    </w:p>
    <w:p>
      <w:pPr>
        <w:pStyle w:val="Body"/>
      </w:pPr>
      <w:r>
        <w:t xml:space="preserve">A Quaest mediu bem e publicou pela metade. Mas entregou, sem querer, o retrato que a direita limpinha não queria ver emoldurado: o melhor segundo-turnista da direita chama-se Flávio Bolsonaro, e o único adversário capaz de derrotá-lo não mora no Alvorada. Mora no espelho, toma chá de alfazema e jura que anular é princípio. Em novembro, a urna fará a tradução simultânea: princípio, no dialeto intergaláctico, escreve-se com L.</w:t>
      </w:r>
    </w:p>
    <w:p>
      <w:pPr>
        <w:pStyle w:val="Signature"/>
      </w:pPr>
      <w:r>
        <w:rPr>
          <w:i/>
          <w:iCs/>
        </w:rPr>
        <w:t xml:space="preserve">Leonardo Dias é empresário, jornalista e cientista de dados, fundador da Arvor (arvor.co) e apresentador do podcast Rádio Café (oeditorial.co)</w:t>
      </w:r>
    </w:p>
    <w:sectPr>
      <w:headerReference w:type="default" r:id="rId7"/>
      <w:footerReference w:type="default" r:id="rId8"/>
      <w:pgSz w:w="11906" w:h="16838" w:orient="portrait"/>
      <w:pgMar w:top="1440" w:right="1700" w:bottom="1440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A8FA0"/>
        <w:sz w:val="16"/>
        <w:szCs w:val="16"/>
      </w:rPr>
      <w:t xml:space="preserve">Página </w:t>
    </w:r>
    <w:r>
      <w:rPr>
        <w:rFonts w:ascii="Arial" w:cs="Arial" w:eastAsia="Arial" w:hAnsi="Arial"/>
        <w:color w:val="8A8FA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A8FA0"/>
        <w:sz w:val="16"/>
        <w:szCs w:val="16"/>
      </w:rPr>
      <w:t xml:space="preserve"> de </w:t>
    </w:r>
    <w:r>
      <w:rPr>
        <w:rFonts w:ascii="Arial" w:cs="Arial" w:eastAsia="Arial" w:hAnsi="Arial"/>
        <w:color w:val="8A8FA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8A8FA0"/>
        <w:sz w:val="16"/>
        <w:szCs w:val="16"/>
      </w:rPr>
      <w:t xml:space="preserve">ARVOR INTELLIGENCE · AUDITORIA QUAEST 10/06/2026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ArticleTitle">
    <w:name w:val="Article Title"/>
    <w:basedOn w:val="Normal"/>
    <w:pPr>
      <w:spacing w:after="200" w:before="120" w:line="276"/>
    </w:pPr>
    <w:rPr>
      <w:rFonts w:ascii="Georgia" w:cs="Georgia" w:eastAsia="Georgia" w:hAnsi="Georgia"/>
      <w:b/>
      <w:bCs/>
      <w:color w:val="12151C"/>
      <w:sz w:val="52"/>
      <w:szCs w:val="52"/>
    </w:rPr>
  </w:style>
  <w:style w:type="paragraph" w:styleId="Subtitle2">
    <w:name w:val="Linha Fina"/>
    <w:basedOn w:val="Normal"/>
    <w:pPr>
      <w:pBdr>
        <w:bottom w:val="single" w:color="12151C" w:sz="6" w:space="12"/>
      </w:pBdr>
      <w:spacing w:after="360"/>
    </w:pPr>
    <w:rPr>
      <w:rFonts w:ascii="Georgia" w:cs="Georgia" w:eastAsia="Georgia" w:hAnsi="Georgia"/>
      <w:color w:val="555A66"/>
      <w:sz w:val="28"/>
      <w:szCs w:val="28"/>
    </w:rPr>
  </w:style>
  <w:style w:type="paragraph" w:styleId="SectionHead">
    <w:name w:val="Section Head"/>
    <w:basedOn w:val="Normal"/>
    <w:pPr>
      <w:spacing w:after="160" w:before="360"/>
    </w:pPr>
    <w:rPr>
      <w:rFonts w:ascii="Georgia" w:cs="Georgia" w:eastAsia="Georgia" w:hAnsi="Georgia"/>
      <w:b/>
      <w:bCs/>
      <w:color w:val="12151C"/>
      <w:sz w:val="32"/>
      <w:szCs w:val="32"/>
    </w:rPr>
  </w:style>
  <w:style w:type="paragraph" w:styleId="Body">
    <w:name w:val="Body"/>
    <w:basedOn w:val="Normal"/>
    <w:pPr>
      <w:spacing w:after="160" w:line="312"/>
      <w:jc w:val="both"/>
    </w:pPr>
    <w:rPr>
      <w:rFonts w:ascii="Georgia" w:cs="Georgia" w:eastAsia="Georgia" w:hAnsi="Georgia"/>
      <w:color w:val="1A1D24"/>
      <w:sz w:val="23"/>
      <w:szCs w:val="23"/>
    </w:rPr>
  </w:style>
  <w:style w:type="paragraph" w:styleId="Signature">
    <w:name w:val="Signature"/>
    <w:basedOn w:val="Normal"/>
    <w:pPr>
      <w:pBdr>
        <w:top w:val="single" w:color="C9C2B3" w:sz="6" w:space="12"/>
      </w:pBdr>
      <w:spacing w:before="360"/>
    </w:pPr>
    <w:rPr>
      <w:rFonts w:ascii="Georgia" w:cs="Georgia" w:eastAsia="Georgia" w:hAnsi="Georgia"/>
      <w:color w:val="555A6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Os intergalácticos: a direita que vota em Lula com vergonha de dizer</dc:title>
  <dc:creator>Leonardo Dias - Arvor Intelligence</dc:creator>
  <dc:description>Artigo de análise sobre o dossiê Quaest/Genial 10/06/2026</dc:description>
  <cp:lastModifiedBy>Un-named</cp:lastModifiedBy>
  <cp:revision>1</cp:revision>
  <dcterms:created xsi:type="dcterms:W3CDTF">2026-06-12T00:22:51.052Z</dcterms:created>
  <dcterms:modified xsi:type="dcterms:W3CDTF">2026-06-12T00:22:51.053Z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