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EX:No.5                          ESTIMATING AND ELIMINATING TREND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25/3/25 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                               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22150101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0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    USING AGGREGATING AND SMOOTHING                                                                                             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AIM : </w:t>
      </w:r>
      <w:r>
        <w:rPr>
          <w:rFonts w:eastAsia="Times New Roman" w:cs="Times New Roman" w:ascii="Times New Roman" w:hAnsi="Times New Roman"/>
          <w:sz w:val="24"/>
          <w:szCs w:val="24"/>
        </w:rPr>
        <w:t>To implement aggregation and smoothing to estimate and eliminate trend in time series analysis.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PROCEDURE: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Read the dataset and convert the date column to datetime format.</w:t>
        <w:b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Set the date column as the index for time series analysis.</w:t>
        <w:b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Aggregate the data by calculating the monthly mean.</w:t>
        <w:b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 Apply a 12-month moving average for smoothing.</w:t>
        <w:b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 Plot the original data, aggregated data, and smoothed data.</w:t>
        <w:b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 Display the graph to visualize trend estimation and elimination.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IMPLEMENTATION :</w:t>
      </w:r>
    </w:p>
    <w:p>
      <w:pPr>
        <w:pStyle w:val="Normal"/>
        <w:rPr>
          <w:rFonts w:ascii="monospace;Consolas;Courier New;monospace" w:hAnsi="monospace;Consolas;Courier New;monospace" w:eastAsia="Times New Roman" w:cs="Times New Roman"/>
          <w:b w:val="false"/>
          <w:color w:val="000000"/>
          <w:sz w:val="21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AF00DB"/>
          <w:sz w:val="24"/>
          <w:szCs w:val="24"/>
          <w:highlight w:val="white"/>
        </w:rPr>
        <w:t>import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 pandas </w:t>
      </w:r>
      <w:r>
        <w:rPr>
          <w:rFonts w:eastAsia="Times New Roman" w:cs="Times New Roman" w:ascii="Times New Roman" w:hAnsi="Times New Roman"/>
          <w:b w:val="false"/>
          <w:color w:val="AF00DB"/>
          <w:sz w:val="24"/>
          <w:szCs w:val="24"/>
          <w:highlight w:val="white"/>
        </w:rPr>
        <w:t>as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 pd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matplotlib.pyplot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as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plt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Load the dataset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 = pd.read_csv(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"/content/ch3_airline_passengers.csv"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Check actual column names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795E26"/>
          <w:sz w:val="21"/>
          <w:highlight w:val="white"/>
        </w:rPr>
        <w:t>print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"Columns:"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df.columns)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Rename for consistency (optional but useful)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df.columns = [col.strip().replace(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"#"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""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)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for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col </w:t>
      </w:r>
      <w:r>
        <w:rPr>
          <w:rFonts w:ascii="monospace;Consolas;Courier New;monospace" w:hAnsi="monospace;Consolas;Courier New;monospace"/>
          <w:b w:val="false"/>
          <w:color w:val="0000FF"/>
          <w:sz w:val="21"/>
          <w:highlight w:val="white"/>
        </w:rPr>
        <w:t>in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df.columns]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Convert Month to datetime and set as index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"Month"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 = pd.to_datetime(df[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"Month"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df.set_index(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"Month"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inplace=</w:t>
      </w:r>
      <w:r>
        <w:rPr>
          <w:rFonts w:ascii="monospace;Consolas;Courier New;monospace" w:hAnsi="monospace;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Resample safely with 'ME' (Month End)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df_monthly = df.resample(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"ME"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).mean()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Use correct column name after renaming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column_name = df.columns[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0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  </w:t>
      </w: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Assuming the column is now just "Passengers"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"SMA_12"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 = df[column_name].rolling(window=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12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).mean()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Plotting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plt.figure(figsize=(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12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6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plt.plot(df[column_name], label=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"Original Data"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color=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"blue"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alpha=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0.5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plt.plot(df_monthly, label=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"Monthly Aggregated"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color=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"red"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plt.plot(df[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"SMA_12"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], label=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"12-Month Moving Average"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color=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"green"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plt.legend()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plt.title(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"Trend Estimation &amp; Elimination – Airline Passengers"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plt.xlabel(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"Year"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plt.ylabel(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"Number of Passengers"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plt.grid(</w:t>
      </w:r>
      <w:r>
        <w:rPr>
          <w:rFonts w:ascii="monospace;Consolas;Courier New;monospace" w:hAnsi="monospace;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plt.tight_layout()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plt.show()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OUTPUT: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  <w:drawing>
          <wp:inline distT="0" distB="0" distL="0" distR="0">
            <wp:extent cx="5731510" cy="31242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RESULT : </w:t>
      </w:r>
      <w:r>
        <w:rPr>
          <w:rFonts w:eastAsia="Times New Roman" w:cs="Times New Roman" w:ascii="Times New Roman" w:hAnsi="Times New Roman"/>
          <w:sz w:val="24"/>
          <w:szCs w:val="24"/>
        </w:rPr>
        <w:t>Thus trends has been estimated and eliminated using aggregating and smoothing techniques.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monospace">
    <w:altName w:val="Consolas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Neat_Office/6.2.8.2$Windows_x86 LibreOffice_project/</Application>
  <Pages>2</Pages>
  <Words>220</Words>
  <Characters>1568</Characters>
  <CharactersWithSpaces>1951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2025-04-22T10:51:55Z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A44FBAA22F1D481EB18922286F9B5A7E_12</vt:lpwstr>
  </property>
  <property fmtid="{D5CDD505-2E9C-101B-9397-08002B2CF9AE}" pid="3" name="KSOProductBuildVer">
    <vt:lpwstr>1033-12.2.0.20323</vt:lpwstr>
  </property>
</Properties>
</file>