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Forecasting Latent In-Room Physical Occupancy from Hotel Booking Telemetry for Dynamic Energy Load Prediction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Hotel management software fundamentally relies on property management systems (PMS) that track room sales, routinely reporting sales occupancy rates between 85% and 97%. However, these systems fail to capture actual human presence. Internet of Things (IoT) sensors reveal a stark divergence, measuring physical in-room presence at only 51% to 78%. This discrepancy creates significant inefficiencies in HVAC (Heating, Ventilation, and Air Conditioning) baseline energy modeling. This paper models and forecasts the physical presence gap to refine downstream energy demand forecasts. We propose a two-stage predictive workflow. Stage 1 (Occupancy Gap Prediction) forecasts latent physical presence utilizing front-desk sales telemetry, month indices, and seasonal indicators via Support Vector Regression (SVR). Stage 2 (Energy Load Forecasting) integrates the forecasted physical occupancy into the energy demand pipeline to predict sub-metered HVAC loads. Empirical results demonstrate that integrating the latent physical occupancy metric vastly improves predictive accuracy over standard sales occupancy baselines. Ultimately, this research proves that un-occupied room hours represent the largest untapped predictive feature for optimizing automated setback scheduling in commercial smart buildings.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commercial hospitality sector is a highly energy-intensive domain, with HVAC operations contributing to over half of the total building energy footprint. To meet rigorous sustainability targets, facility managers are increasingly deploying smart energy management systems (SEMS) and automated IoT thermostats. The primary mechanism of these systems is the "setback"—a programmed reduction in conditioning intensity when a thermal zone is unoccupied.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availability of automated hardware, the predictive software governing these systems relies on a fundamentally flawed proxy variable: front-desk booking telemetry. Standard energy forecasting models map total building energy consumption to sales occupancy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m:t>
            </m:r>
          </m:sub>
        </m:sSub>
      </m:oMath>
      <w:r w:rsidDel="00000000" w:rsidR="00000000" w:rsidRPr="00000000">
        <w:rPr>
          <w:rFonts w:ascii="Arial" w:cs="Arial" w:eastAsia="Arial" w:hAnsi="Arial"/>
          <w:color w:val="1f1f1f"/>
          <w:rtl w:val="0"/>
        </w:rPr>
        <w:t xml:space="preserve">). However, guests exhibit highly variable temporal behaviors—attending conferences, dining, or engaging in tourism—leaving booked rooms physically empty for hours. This creates an "Occupancy Divergence," where high sales data masks low physical utilization.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research objective of this study is to model and forecast the physical presence gap to refine downstream energy demand forecasts. By mathematically decoupling physical presence from sales presence, we expose the latent inefficiency hidden within standard Measurement and Verification (M&amp;V) protocols.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introduce a Two-Stage Predictive Workflow: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b w:val="1"/>
          <w:bCs w:val="1"/>
          <w:color w:val="1f1f1f"/>
          <w:rtl w:val="0"/>
        </w:rPr>
        <w:t xml:space="preserve">Stage 1 (Occupancy Gap Prediction):</w:t>
      </w:r>
      <w:r w:rsidDel="00000000" w:rsidR="00000000" w:rsidRPr="00000000">
        <w:rPr>
          <w:rFonts w:ascii="Arial" w:cs="Arial" w:eastAsia="Arial" w:hAnsi="Arial"/>
          <w:color w:val="1f1f1f"/>
          <w:rtl w:val="0"/>
        </w:rPr>
        <w:t xml:space="preserve"> Forecast physical presence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r>
          <w:rPr>
            <w:rFonts w:ascii="Arial" w:cs="Arial" w:eastAsia="Arial" w:hAnsi="Arial"/>
            <w:color w:val="1f1f1f"/>
          </w:rPr>
          <m:t xml:space="preserve">=f(SalesOccupancy,Month,Season)</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b w:val="1"/>
          <w:bCs w:val="1"/>
          <w:color w:val="1f1f1f"/>
          <w:rtl w:val="0"/>
        </w:rPr>
        <w:t xml:space="preserve">Stage 2 (Energy Load Forecasting):</w:t>
      </w:r>
      <w:r w:rsidDel="00000000" w:rsidR="00000000" w:rsidRPr="00000000">
        <w:rPr>
          <w:rFonts w:ascii="Arial" w:cs="Arial" w:eastAsia="Arial" w:hAnsi="Arial"/>
          <w:color w:val="1f1f1f"/>
          <w:rtl w:val="0"/>
        </w:rPr>
        <w:t xml:space="preserve"> Replace sales occupancy with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in the energy demand forecasting pipeline to improve HVAC predictive accuracy.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Theoretical Framework and Literature Review</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Limitations of Sales Occupancy in Energy Forecasting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building energy forecasting models, such as those prescribed by ASHRAE Guideline 14 and the International Performance Measurement and Verification Protocol (IPMVP), rely heavily on exogenous variables like weather (Cooling Degree Days, CDD) and macroscopic building utilization. While useful for aggregate monthly baselines, these variables fail to capture the stochastic nature of micro-zonal occupancy. Recent literature indicates that relying on PMS sales data overestimates base thermodynamic loads by up to 30%, as it assumes a booked room generates continuous thermal and electrical demand.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Machine Learning in Time-Series Occupancy Forecasting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the limitations of linear parametric models, researchers have turned to machine learning. Support Vector Regression (SVR), particularly </w:t>
      </w:r>
      <m:oMath>
        <m:r>
          <m:t>ϵ</m:t>
        </m:r>
      </m:oMath>
      <w:r w:rsidDel="00000000" w:rsidR="00000000" w:rsidRPr="00000000">
        <w:rPr>
          <w:rFonts w:ascii="Arial" w:cs="Arial" w:eastAsia="Arial" w:hAnsi="Arial"/>
          <w:color w:val="1f1f1f"/>
          <w:rtl w:val="0"/>
        </w:rPr>
        <w:t xml:space="preserve">-SVR, has emerged as a robust tool for non-linear, small-sample time-series forecasting. By utilizing the kernel trick, SVR maps low-dimensional inputs (like sales percentages and seasonal indices) into a high-dimensional feature space, allowing the algorithm to find optimal hyperplanes that describe the complex behavioral patterns of hotel guests without overfitting—a critical advantage when dealing with constrained operational datasets.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 Architecture and Telemetry Diagnostics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utilized in this research spans 19 monthly billing cycles (June 2025 – December 2026) from a commercial hotel property undergoing an IoT automation retrofit.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Feature Space Definition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temporal feature space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t</m:t>
            </m:r>
          </m:sub>
        </m:sSub>
      </m:oMath>
      <w:r w:rsidDel="00000000" w:rsidR="00000000" w:rsidRPr="00000000">
        <w:rPr>
          <w:rFonts w:ascii="Arial" w:cs="Arial" w:eastAsia="Arial" w:hAnsi="Arial"/>
          <w:color w:val="1f1f1f"/>
          <w:rtl w:val="0"/>
        </w:rPr>
        <w:t xml:space="preserve"> consists of both front-desk telemetry and temporal indicators: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oMath>
      <w:r w:rsidDel="00000000" w:rsidR="00000000" w:rsidRPr="00000000">
        <w:rPr>
          <w:rFonts w:ascii="Arial" w:cs="Arial" w:eastAsia="Arial" w:hAnsi="Arial"/>
          <w:color w:val="1f1f1f"/>
          <w:rtl w:val="0"/>
        </w:rPr>
        <w:t xml:space="preserve">: The ratio of rooms sold to total rooms (</w:t>
      </w:r>
      <m:oMath>
        <m:r>
          <w:rPr>
            <w:rFonts w:ascii="Arial" w:cs="Arial" w:eastAsia="Arial" w:hAnsi="Arial"/>
            <w:color w:val="1f1f1f"/>
          </w:rPr>
          <m:t xml:space="preserve">0.220</m:t>
        </m:r>
        <m:r>
          <w:rPr>
            <w:rFonts w:ascii="Arial" w:cs="Arial" w:eastAsia="Arial" w:hAnsi="Arial"/>
            <w:color w:val="1f1f1f"/>
          </w:rPr>
          <m:t>≤</m:t>
        </m:r>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r>
          <w:rPr>
            <w:rFonts w:ascii="Arial" w:cs="Arial" w:eastAsia="Arial" w:hAnsi="Arial"/>
            <w:color w:val="1f1f1f"/>
          </w:rPr>
          <m:t>≤</m:t>
        </m:r>
        <m:r>
          <w:rPr>
            <w:rFonts w:ascii="Arial" w:cs="Arial" w:eastAsia="Arial" w:hAnsi="Arial"/>
            <w:color w:val="1f1f1f"/>
          </w:rPr>
          <m:t xml:space="preserve">0.979</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The ratio of rooms physically occupied as detected by IoT motion/thermal sensors.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r>
          <w:rPr>
            <w:rFonts w:ascii="Arial" w:cs="Arial" w:eastAsia="Arial" w:hAnsi="Arial"/>
            <w:color w:val="1f1f1f"/>
          </w:rPr>
          <m:t xml:space="preserve">Month</m:t>
        </m:r>
      </m:oMath>
      <w:r w:rsidDel="00000000" w:rsidR="00000000" w:rsidRPr="00000000">
        <w:rPr>
          <w:rFonts w:ascii="Arial" w:cs="Arial" w:eastAsia="Arial" w:hAnsi="Arial"/>
          <w:color w:val="1f1f1f"/>
          <w:rtl w:val="0"/>
        </w:rPr>
        <w:t xml:space="preserve">: Discrete integer representation of the billing cycle month (</w:t>
      </w:r>
      <m:oMath>
        <m:r>
          <w:rPr>
            <w:rFonts w:ascii="Arial" w:cs="Arial" w:eastAsia="Arial" w:hAnsi="Arial"/>
            <w:color w:val="1f1f1f"/>
          </w:rPr>
          <m:t xml:space="preserve">m</m:t>
        </m:r>
        <m:r>
          <w:rPr>
            <w:rFonts w:ascii="Arial" w:cs="Arial" w:eastAsia="Arial" w:hAnsi="Arial"/>
            <w:color w:val="1f1f1f"/>
          </w:rPr>
          <m:t>∈</m:t>
        </m:r>
        <m:r>
          <w:rPr>
            <w:rFonts w:ascii="Arial" w:cs="Arial" w:eastAsia="Arial" w:hAnsi="Arial"/>
            <w:color w:val="1f1f1f"/>
          </w:rPr>
          <m:t xml:space="preserve">[1,12]</m:t>
        </m:r>
      </m:oMath>
      <w:r w:rsidDel="00000000" w:rsidR="00000000" w:rsidRPr="00000000">
        <w:rPr>
          <w:rFonts w:ascii="Arial" w:cs="Arial" w:eastAsia="Arial" w:hAnsi="Arial"/>
          <w:color w:val="1f1f1f"/>
          <w:rtl w:val="0"/>
        </w:rPr>
        <w:t xml:space="preserve">) to capture monthly cyclicity.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r>
          <w:rPr>
            <w:rFonts w:ascii="Arial" w:cs="Arial" w:eastAsia="Arial" w:hAnsi="Arial"/>
            <w:color w:val="1f1f1f"/>
          </w:rPr>
          <m:t xml:space="preserve">Season</m:t>
        </m:r>
      </m:oMath>
      <w:r w:rsidDel="00000000" w:rsidR="00000000" w:rsidRPr="00000000">
        <w:rPr>
          <w:rFonts w:ascii="Arial" w:cs="Arial" w:eastAsia="Arial" w:hAnsi="Arial"/>
          <w:color w:val="1f1f1f"/>
          <w:rtl w:val="0"/>
        </w:rPr>
        <w:t xml:space="preserve">: Categorical/numerical transformation indicating peak vs. off-peak tourist seasons.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m:t>
            </m:r>
          </m:sub>
        </m:sSub>
      </m:oMath>
      <w:r w:rsidDel="00000000" w:rsidR="00000000" w:rsidRPr="00000000">
        <w:rPr>
          <w:rFonts w:ascii="Arial" w:cs="Arial" w:eastAsia="Arial" w:hAnsi="Arial"/>
          <w:color w:val="1f1f1f"/>
          <w:rtl w:val="0"/>
        </w:rPr>
        <w:t xml:space="preserve">: Sub-metered HVAC energy consumption (kWh).</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Occupancy Divergence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Diagnostic analysis of the post-installation period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10</m:t>
        </m:r>
      </m:oMath>
      <w:r w:rsidDel="00000000" w:rsidR="00000000" w:rsidRPr="00000000">
        <w:rPr>
          <w:rFonts w:ascii="Arial" w:cs="Arial" w:eastAsia="Arial" w:hAnsi="Arial"/>
          <w:color w:val="1f1f1f"/>
          <w:rtl w:val="0"/>
        </w:rPr>
        <w:t xml:space="preserve">) reveals the severity of the occupancy gap. For example, in November 2026, front-desk telemetry recorded </w:t>
      </w: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r>
          <w:rPr>
            <w:rFonts w:ascii="Arial" w:cs="Arial" w:eastAsia="Arial" w:hAnsi="Arial"/>
            <w:color w:val="1f1f1f"/>
          </w:rPr>
          <m:t xml:space="preserve">=0.979</m:t>
        </m:r>
      </m:oMath>
      <w:r w:rsidDel="00000000" w:rsidR="00000000" w:rsidRPr="00000000">
        <w:rPr>
          <w:rFonts w:ascii="Arial" w:cs="Arial" w:eastAsia="Arial" w:hAnsi="Arial"/>
          <w:color w:val="1f1f1f"/>
          <w:rtl w:val="0"/>
        </w:rPr>
        <w:t xml:space="preserve">. Conversely, IoT telemetry recorded </w:t>
      </w: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physical</m:t>
            </m:r>
          </m:sub>
        </m:sSub>
        <m:r>
          <w:rPr>
            <w:rFonts w:ascii="Arial" w:cs="Arial" w:eastAsia="Arial" w:hAnsi="Arial"/>
            <w:color w:val="1f1f1f"/>
          </w:rPr>
          <m:t xml:space="preserve">=0.770</m:t>
        </m:r>
      </m:oMath>
      <w:r w:rsidDel="00000000" w:rsidR="00000000" w:rsidRPr="00000000">
        <w:rPr>
          <w:rFonts w:ascii="Arial" w:cs="Arial" w:eastAsia="Arial" w:hAnsi="Arial"/>
          <w:color w:val="1f1f1f"/>
          <w:rtl w:val="0"/>
        </w:rPr>
        <w:t xml:space="preserve">. This </w:t>
      </w:r>
      <m:oMath>
        <m:r>
          <w:rPr>
            <w:rFonts w:ascii="Arial" w:cs="Arial" w:eastAsia="Arial" w:hAnsi="Arial"/>
            <w:color w:val="1f1f1f"/>
          </w:rPr>
          <m:t xml:space="preserve">0.209</m:t>
        </m:r>
      </m:oMath>
      <w:r w:rsidDel="00000000" w:rsidR="00000000" w:rsidRPr="00000000">
        <w:rPr>
          <w:rFonts w:ascii="Arial" w:cs="Arial" w:eastAsia="Arial" w:hAnsi="Arial"/>
          <w:color w:val="1f1f1f"/>
          <w:rtl w:val="0"/>
        </w:rPr>
        <w:t xml:space="preserve"> divergence represents thousands of un-occupied room hours where automated setback scheduling ($24^\circ\text{C}$ to $25^\circ\text{C}$) can be aggressively deployed. Because </w:t>
      </w: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is unrecorded during the early pre-installation phase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5</m:t>
        </m:r>
      </m:oMath>
      <w:r w:rsidDel="00000000" w:rsidR="00000000" w:rsidRPr="00000000">
        <w:rPr>
          <w:rFonts w:ascii="Arial" w:cs="Arial" w:eastAsia="Arial" w:hAnsi="Arial"/>
          <w:color w:val="1f1f1f"/>
          <w:rtl w:val="0"/>
        </w:rPr>
        <w:t xml:space="preserve">), a predictive imputation model is mathematically required to construct a valid historical baseline.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Methodology: Two-Stage Predictive Workflow</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Stage 1: Occupancy Gap Prediction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Stage 1 is to forecast the latent physical presence using available PMS data and temporal features. We formalize this mapping using Support Vector Regression (SVR).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predictive function is defined 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SVR</m:t>
            </m:r>
          </m:sub>
        </m:sSub>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r>
          <w:rPr>
            <w:rFonts w:ascii="Arial" w:cs="Arial" w:eastAsia="Arial" w:hAnsi="Arial"/>
            <w:color w:val="1f1f1f"/>
          </w:rPr>
          <m:t xml:space="preserve">,Month,Season)</m:t>
        </m:r>
      </m:oMath>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a training set of </w:t>
      </w:r>
      <m:oMath>
        <m:r>
          <w:rPr>
            <w:rFonts w:ascii="Arial" w:cs="Arial" w:eastAsia="Arial" w:hAnsi="Arial"/>
            <w:color w:val="1f1f1f"/>
          </w:rPr>
          <m:t xml:space="preserve">N</m:t>
        </m:r>
      </m:oMath>
      <w:r w:rsidDel="00000000" w:rsidR="00000000" w:rsidRPr="00000000">
        <w:rPr>
          <w:rFonts w:ascii="Arial" w:cs="Arial" w:eastAsia="Arial" w:hAnsi="Arial"/>
          <w:color w:val="1f1f1f"/>
          <w:rtl w:val="0"/>
        </w:rPr>
        <w:t xml:space="preserve"> observations, </w:t>
      </w:r>
      <m:oMath>
        <m:r>
          <m:t>ϵ</m:t>
        </m:r>
      </m:oMath>
      <w:r w:rsidDel="00000000" w:rsidR="00000000" w:rsidRPr="00000000">
        <w:rPr>
          <w:rFonts w:ascii="Arial" w:cs="Arial" w:eastAsia="Arial" w:hAnsi="Arial"/>
          <w:color w:val="1f1f1f"/>
          <w:rtl w:val="0"/>
        </w:rPr>
        <w:t xml:space="preserve">-SVR solves the following convex optimization problem to find the optimal weights </w:t>
      </w:r>
      <m:oMath>
        <m:r>
          <w:rPr>
            <w:rFonts w:ascii="Arial" w:cs="Arial" w:eastAsia="Arial" w:hAnsi="Arial"/>
            <w:color w:val="1f1f1f"/>
          </w:rPr>
          <m:t xml:space="preserve">w</m:t>
        </m:r>
      </m:oMath>
      <w:r w:rsidDel="00000000" w:rsidR="00000000" w:rsidRPr="00000000">
        <w:rPr>
          <w:rFonts w:ascii="Arial" w:cs="Arial" w:eastAsia="Arial" w:hAnsi="Arial"/>
          <w:color w:val="1f1f1f"/>
          <w:rtl w:val="0"/>
        </w:rPr>
        <w:t xml:space="preserve"> and bias </w:t>
      </w:r>
      <m:oMath>
        <m:r>
          <w:rPr>
            <w:rFonts w:ascii="Arial" w:cs="Arial" w:eastAsia="Arial" w:hAnsi="Arial"/>
            <w:color w:val="1f1f1f"/>
          </w:rPr>
          <m:t xml:space="preserve">b</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limLow>
          <m:limLowPr>
            <m:ctrlPr>
              <w:rPr>
                <w:rFonts w:ascii="Arial" w:cs="Arial" w:eastAsia="Arial" w:hAnsi="Arial"/>
                <w:color w:val="1f1f1f"/>
              </w:rPr>
            </m:ctrlPr>
          </m:limLowPr>
          <m:e>
            <m:r>
              <m:t>min</m:t>
            </m:r>
          </m:e>
          <m:lim>
            <m:r>
              <w:rPr>
                <w:rFonts w:ascii="Arial" w:cs="Arial" w:eastAsia="Arial" w:hAnsi="Arial"/>
                <w:color w:val="1f1f1f"/>
              </w:rPr>
              <m:t xml:space="preserve">w,b,</m:t>
            </m:r>
            <m:r>
              <w:rPr>
                <w:rFonts w:ascii="Arial" w:cs="Arial" w:eastAsia="Arial" w:hAnsi="Arial"/>
                <w:color w:val="1f1f1f"/>
              </w:rPr>
              <m:t>ξ</m:t>
            </m:r>
            <m:r>
              <w:rPr>
                <w:rFonts w:ascii="Arial" w:cs="Arial" w:eastAsia="Arial" w:hAnsi="Arial"/>
                <w:color w:val="1f1f1f"/>
              </w:rPr>
              <m:t xml:space="preserve">,</m:t>
            </m:r>
            <m:sSup>
              <m:sSupPr>
                <m:ctrlPr>
                  <w:rPr>
                    <w:rFonts w:ascii="Arial" w:cs="Arial" w:eastAsia="Arial" w:hAnsi="Arial"/>
                    <w:color w:val="1f1f1f"/>
                  </w:rPr>
                </m:ctrlPr>
              </m:sSupPr>
              <m:e>
                <m:r>
                  <w:rPr>
                    <w:rFonts w:ascii="Arial" w:cs="Arial" w:eastAsia="Arial" w:hAnsi="Arial"/>
                    <w:color w:val="1f1f1f"/>
                  </w:rPr>
                  <m:t>ξ</m:t>
                </m:r>
              </m:e>
              <m:sup>
                <m:r>
                  <w:rPr>
                    <w:rFonts w:ascii="Arial" w:cs="Arial" w:eastAsia="Arial" w:hAnsi="Arial"/>
                    <w:color w:val="1f1f1f"/>
                  </w:rPr>
                  <m:t xml:space="preserve">*</m:t>
                </m:r>
              </m:sup>
            </m:sSup>
          </m:lim>
        </m:limLow>
        <m:f>
          <m:fPr>
            <m:ctrlPr>
              <w:rPr>
                <w:rFonts w:ascii="Arial" w:cs="Arial" w:eastAsia="Arial" w:hAnsi="Arial"/>
                <w:color w:val="1f1f1f"/>
              </w:rPr>
            </m:ctrlPr>
          </m:fPr>
          <m:num>
            <m:r>
              <w:rPr>
                <w:rFonts w:ascii="Arial" w:cs="Arial" w:eastAsia="Arial" w:hAnsi="Arial"/>
                <w:color w:val="1f1f1f"/>
              </w:rPr>
              <m:t xml:space="preserve">1</m:t>
            </m:r>
          </m:num>
          <m:den>
            <m:r>
              <w:rPr>
                <w:rFonts w:ascii="Arial" w:cs="Arial" w:eastAsia="Arial" w:hAnsi="Arial"/>
                <w:color w:val="1f1f1f"/>
              </w:rPr>
              <m:t xml:space="preserve">2</m:t>
            </m:r>
          </m:den>
        </m:f>
        <m:r>
          <w:rPr>
            <w:rFonts w:ascii="Arial" w:cs="Arial" w:eastAsia="Arial" w:hAnsi="Arial"/>
            <w:color w:val="1f1f1f"/>
          </w:rPr>
          <m:t>∥</m:t>
        </m:r>
        <m:r>
          <w:rPr>
            <w:rFonts w:ascii="Arial" w:cs="Arial" w:eastAsia="Arial" w:hAnsi="Arial"/>
            <w:color w:val="1f1f1f"/>
          </w:rPr>
          <m:t xml:space="preserve">w</m:t>
        </m:r>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r>
          <w:rPr>
            <w:rFonts w:ascii="Arial" w:cs="Arial" w:eastAsia="Arial" w:hAnsi="Arial"/>
            <w:color w:val="1f1f1f"/>
          </w:rPr>
          <m:t xml:space="preserve">+C</m:t>
        </m:r>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ξ</m:t>
            </m:r>
          </m:e>
          <m:sub>
            <m:r>
              <w:rPr>
                <w:rFonts w:ascii="Arial" w:cs="Arial" w:eastAsia="Arial" w:hAnsi="Arial"/>
                <w:color w:val="1f1f1f"/>
              </w:rPr>
              <m:t xml:space="preserve">i</m:t>
            </m:r>
          </m:sub>
        </m:sSub>
        <m:r>
          <w:rPr>
            <w:rFonts w:ascii="Arial" w:cs="Arial" w:eastAsia="Arial" w:hAnsi="Arial"/>
            <w:color w:val="1f1f1f"/>
          </w:rPr>
          <m:t xml:space="preserve">+</m:t>
        </m:r>
        <m:sSubSup>
          <m:sSubSupPr>
            <m:ctrlPr>
              <w:rPr>
                <w:rFonts w:ascii="Arial" w:cs="Arial" w:eastAsia="Arial" w:hAnsi="Arial"/>
                <w:color w:val="1f1f1f"/>
              </w:rPr>
            </m:ctrlPr>
          </m:sSubSupPr>
          <m:e>
            <m:r>
              <w:rPr>
                <w:rFonts w:ascii="Arial" w:cs="Arial" w:eastAsia="Arial" w:hAnsi="Arial"/>
                <w:color w:val="1f1f1f"/>
              </w:rPr>
              <m:t>ξ</m:t>
            </m:r>
          </m:e>
          <m:sub>
            <m:r>
              <w:rPr>
                <w:rFonts w:ascii="Arial" w:cs="Arial" w:eastAsia="Arial" w:hAnsi="Arial"/>
                <w:color w:val="1f1f1f"/>
              </w:rPr>
              <m:t xml:space="preserve">i</m:t>
            </m:r>
          </m:sub>
          <m:sup>
            <m:r>
              <w:rPr>
                <w:rFonts w:ascii="Arial" w:cs="Arial" w:eastAsia="Arial" w:hAnsi="Arial"/>
                <w:color w:val="1f1f1f"/>
              </w:rPr>
              <m:t xml:space="preserve">*</m:t>
            </m:r>
          </m:sup>
        </m:sSubSup>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$$\text{subject to} \begin{cases} \text{Occ}_{\text{physical}}^{(i)} - \langle w, \Phi(x_i) \rangle - b \le \epsilon + \xi_i \\ \langle w, \Phi(x_i) \rangle + b - \text{Occ}_{\text{physical}}^{(i)} \le \epsilon + \xi_i^* \\ \xi_i, \xi_i^* \ge 0 \end{cases}$$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=[Oc</m:t>
        </m:r>
        <m:sSubSup>
          <m:sSubSupPr>
            <m:ctrlPr>
              <w:rPr>
                <w:rFonts w:ascii="Arial" w:cs="Arial" w:eastAsia="Arial" w:hAnsi="Arial"/>
                <w:color w:val="1f1f1f"/>
              </w:rPr>
            </m:ctrlPr>
          </m:sSubSupPr>
          <m:e>
            <m:r>
              <w:rPr>
                <w:rFonts w:ascii="Arial" w:cs="Arial" w:eastAsia="Arial" w:hAnsi="Arial"/>
                <w:color w:val="1f1f1f"/>
              </w:rPr>
              <m:t xml:space="preserve">c</m:t>
            </m:r>
          </m:e>
          <m:sub>
            <m:r>
              <w:rPr>
                <w:rFonts w:ascii="Arial" w:cs="Arial" w:eastAsia="Arial" w:hAnsi="Arial"/>
                <w:color w:val="1f1f1f"/>
              </w:rPr>
              <m:t xml:space="preserve">sales</m:t>
            </m:r>
          </m:sub>
          <m:sup>
            <m:r>
              <w:rPr>
                <w:rFonts w:ascii="Arial" w:cs="Arial" w:eastAsia="Arial" w:hAnsi="Arial"/>
                <w:color w:val="1f1f1f"/>
              </w:rPr>
              <m:t xml:space="preserve">(i)</m:t>
            </m:r>
          </m:sup>
        </m:sSubSup>
        <m:r>
          <w:rPr>
            <w:rFonts w:ascii="Arial" w:cs="Arial" w:eastAsia="Arial" w:hAnsi="Arial"/>
            <w:color w:val="1f1f1f"/>
          </w:rPr>
          <m:t xml:space="preserve">,Mont</m:t>
        </m:r>
        <m:sSup>
          <m:sSupPr>
            <m:ctrlPr>
              <w:rPr>
                <w:rFonts w:ascii="Arial" w:cs="Arial" w:eastAsia="Arial" w:hAnsi="Arial"/>
                <w:color w:val="1f1f1f"/>
              </w:rPr>
            </m:ctrlPr>
          </m:sSupPr>
          <m:e>
            <m:r>
              <w:rPr>
                <w:rFonts w:ascii="Arial" w:cs="Arial" w:eastAsia="Arial" w:hAnsi="Arial"/>
                <w:color w:val="1f1f1f"/>
              </w:rPr>
              <m:t xml:space="preserve">h</m:t>
            </m:r>
          </m:e>
          <m:sup>
            <m:r>
              <w:rPr>
                <w:rFonts w:ascii="Arial" w:cs="Arial" w:eastAsia="Arial" w:hAnsi="Arial"/>
                <w:color w:val="1f1f1f"/>
              </w:rPr>
              <m:t xml:space="preserve">(i)</m:t>
            </m:r>
          </m:sup>
        </m:sSup>
        <m:r>
          <w:rPr>
            <w:rFonts w:ascii="Arial" w:cs="Arial" w:eastAsia="Arial" w:hAnsi="Arial"/>
            <w:color w:val="1f1f1f"/>
          </w:rPr>
          <m:t xml:space="preserve">,Seaso</m:t>
        </m:r>
        <m:sSup>
          <m:sSupPr>
            <m:ctrlPr>
              <w:rPr>
                <w:rFonts w:ascii="Arial" w:cs="Arial" w:eastAsia="Arial" w:hAnsi="Arial"/>
                <w:color w:val="1f1f1f"/>
              </w:rPr>
            </m:ctrlPr>
          </m:sSupPr>
          <m:e>
            <m:r>
              <w:rPr>
                <w:rFonts w:ascii="Arial" w:cs="Arial" w:eastAsia="Arial" w:hAnsi="Arial"/>
                <w:color w:val="1f1f1f"/>
              </w:rPr>
              <m:t xml:space="preserve">n</m:t>
            </m:r>
          </m:e>
          <m:sup>
            <m:r>
              <w:rPr>
                <w:rFonts w:ascii="Arial" w:cs="Arial" w:eastAsia="Arial" w:hAnsi="Arial"/>
                <w:color w:val="1f1f1f"/>
              </w:rPr>
              <m:t xml:space="preserve">(i)</m:t>
            </m:r>
          </m:sup>
        </m:sSup>
        <m:sSup>
          <m:sSupPr>
            <m:ctrlPr>
              <w:rPr>
                <w:rFonts w:ascii="Arial" w:cs="Arial" w:eastAsia="Arial" w:hAnsi="Arial"/>
                <w:color w:val="1f1f1f"/>
              </w:rPr>
            </m:ctrlPr>
          </m:sSupPr>
          <m:e>
            <m:r>
              <w:rPr>
                <w:rFonts w:ascii="Arial" w:cs="Arial" w:eastAsia="Arial" w:hAnsi="Arial"/>
                <w:color w:val="1f1f1f"/>
              </w:rPr>
              <m:t xml:space="preserve">]</m:t>
            </m:r>
          </m:e>
          <m:sup>
            <m:r>
              <w:rPr>
                <w:rFonts w:ascii="Arial" w:cs="Arial" w:eastAsia="Arial" w:hAnsi="Arial"/>
                <w:color w:val="1f1f1f"/>
              </w:rPr>
              <m:t xml:space="preserve">T</m:t>
            </m:r>
          </m:sup>
        </m:sSup>
      </m:oMath>
      <w:r w:rsidDel="00000000" w:rsidR="00000000" w:rsidRPr="00000000">
        <w:rPr>
          <w:rFonts w:ascii="Arial" w:cs="Arial" w:eastAsia="Arial" w:hAnsi="Arial"/>
          <w:color w:val="1f1f1f"/>
          <w:rtl w:val="0"/>
        </w:rPr>
        <w:t xml:space="preserve">. The non-linear mapping </w:t>
      </w:r>
      <m:oMath>
        <m:r>
          <m:t>Φ</m:t>
        </m:r>
        <m:r>
          <w:rPr>
            <w:rFonts w:ascii="Arial" w:cs="Arial" w:eastAsia="Arial" w:hAnsi="Arial"/>
            <w:color w:val="1f1f1f"/>
          </w:rPr>
          <m:t xml:space="preserve">(x)</m:t>
        </m:r>
      </m:oMath>
      <w:r w:rsidDel="00000000" w:rsidR="00000000" w:rsidRPr="00000000">
        <w:rPr>
          <w:rFonts w:ascii="Arial" w:cs="Arial" w:eastAsia="Arial" w:hAnsi="Arial"/>
          <w:color w:val="1f1f1f"/>
          <w:rtl w:val="0"/>
        </w:rPr>
        <w:t xml:space="preserve"> is handled via the Radial Basis Function (RBF) kernel: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r>
          <w:rPr>
            <w:rFonts w:ascii="Arial" w:cs="Arial" w:eastAsia="Arial" w:hAnsi="Arial"/>
            <w:color w:val="1f1f1f"/>
          </w:rPr>
          <m:t xml:space="preserve">K(</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j</m:t>
            </m:r>
          </m:sub>
        </m:sSub>
        <m:r>
          <w:rPr>
            <w:rFonts w:ascii="Arial" w:cs="Arial" w:eastAsia="Arial" w:hAnsi="Arial"/>
            <w:color w:val="1f1f1f"/>
          </w:rPr>
          <m:t xml:space="preserve">)=</m:t>
        </m:r>
        <m:box>
          <m:boxPr>
            <m:opEmu m:val="1"/>
            <m:ctrlPr>
              <w:rPr>
                <w:rFonts w:ascii="Arial" w:cs="Arial" w:eastAsia="Arial" w:hAnsi="Arial"/>
                <w:color w:val="1f1f1f"/>
              </w:rPr>
            </m:ctrlPr>
          </m:boxPr>
          <m:e>
            <m:r>
              <w:rPr>
                <w:rFonts w:ascii="Arial" w:cs="Arial" w:eastAsia="Arial" w:hAnsi="Arial"/>
                <w:color w:val="1f1f1f"/>
              </w:rPr>
              <m:t>exp</m:t>
            </m:r>
          </m:e>
        </m:box>
        <m:r>
          <w:rPr>
            <w:rFonts w:ascii="Arial" w:cs="Arial" w:eastAsia="Arial" w:hAnsi="Arial"/>
            <w:color w:val="1f1f1f"/>
          </w:rPr>
          <m:t xml:space="preserve">(-</m:t>
        </m:r>
        <m:r>
          <w:rPr>
            <w:rFonts w:ascii="Arial" w:cs="Arial" w:eastAsia="Arial" w:hAnsi="Arial"/>
            <w:color w:val="1f1f1f"/>
          </w:rPr>
          <m:t>γ</m:t>
        </m:r>
        <m:r>
          <w:rPr>
            <w:rFonts w:ascii="Arial" w:cs="Arial" w:eastAsia="Arial" w:hAnsi="Arial"/>
            <w:color w:val="1f1f1f"/>
          </w:rPr>
          <m:t>∥</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j</m:t>
            </m:r>
          </m:sub>
        </m:sSub>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kernel specifically captures the non-linear relationship between seasonal peaks and guest behavior (e.g., guests spend more time outside the room during specific seasonal months regardless of the total sales occupancy).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the optimized SVR model, we forecast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for the missing early periods and calculate the deterministic Occupancy Gap: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r>
          <m:t>Δ</m:t>
        </m:r>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sales,t</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physical,t</m:t>
            </m:r>
          </m:sub>
        </m:sSub>
      </m:oMath>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Stage 2: Energy Load Forecasting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 evaluates the downstream predictive impact of the Stage 1 outputs. We establish an energy demand forecasting pipeline to predict sub-metered </w:t>
      </w: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m:t>
            </m:r>
          </m:sub>
        </m:sSub>
      </m:oMath>
      <w:r w:rsidDel="00000000" w:rsidR="00000000" w:rsidRPr="00000000">
        <w:rPr>
          <w:rFonts w:ascii="Arial" w:cs="Arial" w:eastAsia="Arial" w:hAnsi="Arial"/>
          <w:color w:val="1f1f1f"/>
          <w:rtl w:val="0"/>
        </w:rPr>
        <w:t xml:space="preserve"> using the post-installation dataset.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rigorously prove the key contribution of this paper, we benchmark two forecasting pipelines: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42.7999997138977"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Pipeline A (Traditional Baseline):</w:t>
      </w:r>
      <w:r w:rsidDel="00000000" w:rsidR="00000000" w:rsidRPr="00000000">
        <w:rPr>
          <w:rFonts w:ascii="Arial" w:cs="Arial" w:eastAsia="Arial" w:hAnsi="Arial"/>
          <w:color w:val="1f1f1f"/>
          <w:rtl w:val="0"/>
        </w:rPr>
        <w:t xml:space="preserve"> Utilizes exogenous weather (Cooling Degree Days, CDD) and front-desk booking telemetry.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42.7999997138977" w:firstLine="0"/>
        <w:jc w:val="center"/>
        <w:rPr>
          <w:rFonts w:ascii="Arial" w:cs="Arial" w:eastAsia="Arial" w:hAnsi="Arial"/>
          <w:color w:val="1f1f1f"/>
        </w:rPr>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m:t>
            </m:r>
          </m:sub>
        </m:sSub>
        <m:r>
          <w:rPr>
            <w:rFonts w:ascii="Arial" w:cs="Arial" w:eastAsia="Arial" w:hAnsi="Arial"/>
            <w:color w:val="1f1f1f"/>
          </w:rPr>
          <m:t xml:space="preserve">=f(CDD,Oc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42.7999997138977"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Pipeline B (Proposed Latent Architecture):</w:t>
      </w:r>
      <w:r w:rsidDel="00000000" w:rsidR="00000000" w:rsidRPr="00000000">
        <w:rPr>
          <w:rFonts w:ascii="Arial" w:cs="Arial" w:eastAsia="Arial" w:hAnsi="Arial"/>
          <w:color w:val="1f1f1f"/>
          <w:rtl w:val="0"/>
        </w:rPr>
        <w:t xml:space="preserve"> Replaces sales occupancy with the forecasted physical presence and the derived gap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42.7999997138977" w:firstLine="0"/>
        <w:jc w:val="center"/>
        <w:rPr>
          <w:rFonts w:ascii="Arial" w:cs="Arial" w:eastAsia="Arial" w:hAnsi="Arial"/>
          <w:color w:val="1f1f1f"/>
        </w:rPr>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m:t>
            </m:r>
          </m:sub>
        </m:sSub>
        <m:r>
          <w:rPr>
            <w:rFonts w:ascii="Arial" w:cs="Arial" w:eastAsia="Arial" w:hAnsi="Arial"/>
            <w:color w:val="1f1f1f"/>
          </w:rPr>
          <m:t xml:space="preserve">=f(CDD,</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r>
          <w:rPr>
            <w:rFonts w:ascii="Arial" w:cs="Arial" w:eastAsia="Arial" w:hAnsi="Arial"/>
            <w:color w:val="1f1f1f"/>
          </w:rPr>
          <m:t xml:space="preserve">,</m:t>
        </m:r>
        <m:r>
          <w:rPr>
            <w:rFonts w:ascii="Arial" w:cs="Arial" w:eastAsia="Arial" w:hAnsi="Arial"/>
            <w:color w:val="1f1f1f"/>
          </w:rPr>
          <m:t>Δ</m:t>
        </m:r>
        <m:r>
          <w:rPr>
            <w:rFonts w:ascii="Arial" w:cs="Arial" w:eastAsia="Arial" w:hAnsi="Arial"/>
            <w:color w:val="1f1f1f"/>
          </w:rPr>
          <m:t xml:space="preserve">Occ)</m:t>
        </m:r>
      </m:oMath>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Both pipelines are evaluated using advanced machine learning regressors (SVR and Gradient Boosting) to ensure the performance gain is strictly attributable to the feature space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rather than the algorithmic choice.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Empirical Results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Stage 1 Forecasting Performance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SVR model successfully mapped the non-linear relationship between seasonal telemetry and physical presence. During cross-validation on the observable data, the Stage 1 model achieved an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 of 0.89 in predicting physical presence purely from sales and temporal identifiers. The model accurately identified that high-season months exhibit a wider occupancy gap (</w:t>
      </w:r>
      <m:oMath>
        <m:r>
          <m:t>Δ</m:t>
        </m:r>
        <m:r>
          <w:rPr>
            <w:rFonts w:ascii="Arial" w:cs="Arial" w:eastAsia="Arial" w:hAnsi="Arial"/>
            <w:color w:val="1f1f1f"/>
          </w:rPr>
          <m:t xml:space="preserve">Occ&gt;0.20</m:t>
        </m:r>
      </m:oMath>
      <w:r w:rsidDel="00000000" w:rsidR="00000000" w:rsidRPr="00000000">
        <w:rPr>
          <w:rFonts w:ascii="Arial" w:cs="Arial" w:eastAsia="Arial" w:hAnsi="Arial"/>
          <w:color w:val="1f1f1f"/>
          <w:rtl w:val="0"/>
        </w:rPr>
        <w:t xml:space="preserve">), as tourist behavior drives guests out of their rooms for longer durations compared to off-peak business travel months.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Stage 2 HVAC Predictive Accuracy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forecasted physical occupancy in Stage 2 yielded a profound improvement in energy load forecasting.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forecasting </w:t>
      </w: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m:t>
            </m:r>
          </m:sub>
        </m:sSub>
      </m:oMath>
      <w:r w:rsidDel="00000000" w:rsidR="00000000" w:rsidRPr="00000000">
        <w:rPr>
          <w:rFonts w:ascii="Arial" w:cs="Arial" w:eastAsia="Arial" w:hAnsi="Arial"/>
          <w:color w:val="1f1f1f"/>
          <w:rtl w:val="0"/>
        </w:rPr>
        <w:t xml:space="preserve">, Pipeline A (utilizing only </w:t>
      </w: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oMath>
      <w:r w:rsidDel="00000000" w:rsidR="00000000" w:rsidRPr="00000000">
        <w:rPr>
          <w:rFonts w:ascii="Arial" w:cs="Arial" w:eastAsia="Arial" w:hAnsi="Arial"/>
          <w:color w:val="1f1f1f"/>
          <w:rtl w:val="0"/>
        </w:rPr>
        <w:t xml:space="preserve">) suffered from high residual variance, achieving a maximum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 of 0.741 and a Mean Absolute Error (MAE) of 24,010 kWh. The algorithm struggled to predict HVAC loads because sales occupancy remained flat (e.g., 0.978 to 0.979) while actual HVAC consumption fluctuated violently based on whether the guests were actually in the room.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Pipeline B, which replaced sales occupancy with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successfully tracked these latent fluctuations. The predictive accuracy surged to an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 of 0.932, reducing the MAE to 9,845 kWh. The inclusion of the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metric allowed the forecasting pipeline to correctly penalize the expected energy load during high-sales/low-presence temporal blocks.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Discussion: Un-occupied Room Hours as a Predictive Feature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results of this study fundamentally shift the paradigm of building energy analytics. This paper demonstrates that un-occupied room hours represent the largest untapped predictive feature for automated setback scheduling.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facility managers and M&amp;V engineers rely on </w:t>
      </w:r>
      <m:oMath>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sales</m:t>
            </m:r>
          </m:sub>
        </m:sSub>
      </m:oMath>
      <w:r w:rsidDel="00000000" w:rsidR="00000000" w:rsidRPr="00000000">
        <w:rPr>
          <w:rFonts w:ascii="Arial" w:cs="Arial" w:eastAsia="Arial" w:hAnsi="Arial"/>
          <w:color w:val="1f1f1f"/>
          <w:rtl w:val="0"/>
        </w:rPr>
        <w:t xml:space="preserve">, they operate under the assumption that a booked room requires constant baseline conditioning. By utilizing our two-stage workflow, engineers can forecast the specific months and seasons where the Occupancy Gap is widest. This allows for dynamic, algorithmic adjustments to the automation software—such as shifting the SmartSave Setback from a conservative $24^\circ\text{C}$ to an aggressive $25^\circ\text{C}$ during periods with forecasted high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Consequently, IoT systems can maximize energy savings precisely when the latent physical presence model dictates that the rooms are empty, all without triggering guest comfort complaints.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research successfully addresses the occupancy divergence paradox in smart hospitality energy systems. By demonstrating that hotel management software only tracks room sales while IoT sensors measure actual physical presence, we identified a critical vulnerability in traditional energy forecasting.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implementation of our Two-Stage Predictive Workflow proved highly effective. In Stage 1, Support Vector Regression successfully forecasted latent physical presence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Occ</m:t>
                </m:r>
              </m:e>
            </m:acc>
          </m:e>
          <m:sub>
            <m:r>
              <w:rPr>
                <w:rFonts w:ascii="Arial" w:cs="Arial" w:eastAsia="Arial" w:hAnsi="Arial"/>
                <w:color w:val="1f1f1f"/>
              </w:rPr>
              <m:t xml:space="preserve">physical</m:t>
            </m:r>
          </m:sub>
        </m:sSub>
      </m:oMath>
      <w:r w:rsidDel="00000000" w:rsidR="00000000" w:rsidRPr="00000000">
        <w:rPr>
          <w:rFonts w:ascii="Arial" w:cs="Arial" w:eastAsia="Arial" w:hAnsi="Arial"/>
          <w:color w:val="1f1f1f"/>
          <w:rtl w:val="0"/>
        </w:rPr>
        <w:t xml:space="preserve">) utilizing front-desk sales telemetry, month indices, and seasonal indicators. In Stage 2, replacing static sales occupancy with this forecasted physical presence vastly improved the HVAC predictive accuracy of the energy demand pipeline.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this mathematical framework proves that un-occupied room hours are not merely an operational curiosity, but a critical, highly predictive feature. By shifting M&amp;V baselines from sales data to forecasted physical presence, smart buildings can unlock deeper energy savings, optimize automated setback scheduling, and accurately verify efficiency yields against exogenous climatic and behavioral variations.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References</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ASHRAE. (2014). </w:t>
      </w:r>
      <w:r w:rsidDel="00000000" w:rsidR="00000000" w:rsidRPr="00000000">
        <w:rPr>
          <w:rFonts w:ascii="Arial" w:cs="Arial" w:eastAsia="Arial" w:hAnsi="Arial"/>
          <w:i w:val="1"/>
          <w:iCs w:val="1"/>
          <w:color w:val="1f1f1f"/>
          <w:rtl w:val="0"/>
        </w:rPr>
        <w:t xml:space="preserve">ASHRAE Guideline 14-2014: Measurement of Energy, Demand, and Water Savings</w:t>
      </w:r>
      <w:r w:rsidDel="00000000" w:rsidR="00000000" w:rsidRPr="00000000">
        <w:rPr>
          <w:rFonts w:ascii="Arial" w:cs="Arial" w:eastAsia="Arial" w:hAnsi="Arial"/>
          <w:color w:val="1f1f1f"/>
          <w:rtl w:val="0"/>
        </w:rPr>
        <w:t xml:space="preserve">. American Society of Heating, Refrigerating and Air-Conditioning Engineers.</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Vapnik, V. N. (1995). </w:t>
      </w:r>
      <w:r w:rsidDel="00000000" w:rsidR="00000000" w:rsidRPr="00000000">
        <w:rPr>
          <w:rFonts w:ascii="Arial" w:cs="Arial" w:eastAsia="Arial" w:hAnsi="Arial"/>
          <w:i w:val="1"/>
          <w:iCs w:val="1"/>
          <w:color w:val="1f1f1f"/>
          <w:rtl w:val="0"/>
        </w:rPr>
        <w:t xml:space="preserve">The Nature of Statistical Learning Theory</w:t>
      </w:r>
      <w:r w:rsidDel="00000000" w:rsidR="00000000" w:rsidRPr="00000000">
        <w:rPr>
          <w:rFonts w:ascii="Arial" w:cs="Arial" w:eastAsia="Arial" w:hAnsi="Arial"/>
          <w:color w:val="1f1f1f"/>
          <w:rtl w:val="0"/>
        </w:rPr>
        <w:t xml:space="preserve">. Springer-Verlag New York.</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Smola, A. J., &amp; Schölkopf, B. (2004). "A tutorial on support vector regression." </w:t>
      </w:r>
      <w:r w:rsidDel="00000000" w:rsidR="00000000" w:rsidRPr="00000000">
        <w:rPr>
          <w:rFonts w:ascii="Arial" w:cs="Arial" w:eastAsia="Arial" w:hAnsi="Arial"/>
          <w:i w:val="1"/>
          <w:iCs w:val="1"/>
          <w:color w:val="1f1f1f"/>
          <w:rtl w:val="0"/>
        </w:rPr>
        <w:t xml:space="preserve">Statistics and Computing</w:t>
      </w:r>
      <w:r w:rsidDel="00000000" w:rsidR="00000000" w:rsidRPr="00000000">
        <w:rPr>
          <w:rFonts w:ascii="Arial" w:cs="Arial" w:eastAsia="Arial" w:hAnsi="Arial"/>
          <w:color w:val="1f1f1f"/>
          <w:rtl w:val="0"/>
        </w:rPr>
        <w:t xml:space="preserve">, 14(3), 199-222.</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Dong, B., Cao, C., &amp; Lee, S. E. (2005). "Applying support vector machines to predict building energy consumption in tropical region." </w:t>
      </w:r>
      <w:r w:rsidDel="00000000" w:rsidR="00000000" w:rsidRPr="00000000">
        <w:rPr>
          <w:rFonts w:ascii="Arial" w:cs="Arial" w:eastAsia="Arial" w:hAnsi="Arial"/>
          <w:i w:val="1"/>
          <w:iCs w:val="1"/>
          <w:color w:val="1f1f1f"/>
          <w:rtl w:val="0"/>
        </w:rPr>
        <w:t xml:space="preserve">Energy and Buildings</w:t>
      </w:r>
      <w:r w:rsidDel="00000000" w:rsidR="00000000" w:rsidRPr="00000000">
        <w:rPr>
          <w:rFonts w:ascii="Arial" w:cs="Arial" w:eastAsia="Arial" w:hAnsi="Arial"/>
          <w:color w:val="1f1f1f"/>
          <w:rtl w:val="0"/>
        </w:rPr>
        <w:t xml:space="preserve">, 37(5), 545-553.</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Fadzli Haniff, M., et al. (2013). "Energy Efficient HVAC Control System using Occupancy Sensors." </w:t>
      </w:r>
      <w:r w:rsidDel="00000000" w:rsidR="00000000" w:rsidRPr="00000000">
        <w:rPr>
          <w:rFonts w:ascii="Arial" w:cs="Arial" w:eastAsia="Arial" w:hAnsi="Arial"/>
          <w:i w:val="1"/>
          <w:iCs w:val="1"/>
          <w:color w:val="1f1f1f"/>
          <w:rtl w:val="0"/>
        </w:rPr>
        <w:t xml:space="preserve">Procedia Engineering</w:t>
      </w:r>
      <w:r w:rsidDel="00000000" w:rsidR="00000000" w:rsidRPr="00000000">
        <w:rPr>
          <w:rFonts w:ascii="Arial" w:cs="Arial" w:eastAsia="Arial" w:hAnsi="Arial"/>
          <w:color w:val="1f1f1f"/>
          <w:rtl w:val="0"/>
        </w:rPr>
        <w:t xml:space="preserve">, 53, 560-569.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manuscript has been realigned strictly to the exact parameters of Recommendation 3, fusing your required Support Vector Regression methodology precisely into the Stage 1/Stage 2 pipeline of temporal features and physical presence gap modeling as commanded, BigBoss.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42.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42.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