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499"/>
        <w:gridCol w:w="1619"/>
      </w:tblGrid>
      <w:tr w:rsidR="00E42FCC" w14:paraId="14EA2CF8" w14:textId="77777777" w:rsidTr="007C4333">
        <w:tc>
          <w:tcPr>
            <w:tcW w:w="2323" w:type="dxa"/>
            <w:shd w:val="clear" w:color="auto" w:fill="auto"/>
            <w:vAlign w:val="center"/>
          </w:tcPr>
          <w:p w14:paraId="079DB3B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80446F3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722BF7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619" w:type="dxa"/>
            <w:vAlign w:val="center"/>
          </w:tcPr>
          <w:p w14:paraId="3B17A38D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4B19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00ECB213" w14:textId="77777777" w:rsidTr="007C4333">
        <w:tc>
          <w:tcPr>
            <w:tcW w:w="2323" w:type="dxa"/>
            <w:shd w:val="clear" w:color="auto" w:fill="auto"/>
            <w:vAlign w:val="center"/>
          </w:tcPr>
          <w:p w14:paraId="76CBEA47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7E78AE0" w14:textId="77777777" w:rsidR="00E42FCC" w:rsidRDefault="008E4EB6" w:rsidP="00825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8C76833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619" w:type="dxa"/>
            <w:vAlign w:val="center"/>
          </w:tcPr>
          <w:p w14:paraId="74F54889" w14:textId="386F9E5A" w:rsidR="00E42FCC" w:rsidRDefault="7809C08B" w:rsidP="52C489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52C4898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G3</w:t>
            </w:r>
          </w:p>
        </w:tc>
      </w:tr>
      <w:tr w:rsidR="00E42FCC" w14:paraId="6EFC6173" w14:textId="77777777" w:rsidTr="007C4333">
        <w:tc>
          <w:tcPr>
            <w:tcW w:w="2323" w:type="dxa"/>
            <w:shd w:val="clear" w:color="auto" w:fill="auto"/>
            <w:vAlign w:val="center"/>
          </w:tcPr>
          <w:p w14:paraId="13783196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5130131" w14:textId="74CB9757" w:rsidR="00E42FCC" w:rsidRDefault="004F1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Milind Marathe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5216E8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619" w:type="dxa"/>
            <w:vAlign w:val="center"/>
          </w:tcPr>
          <w:p w14:paraId="2E9A42AB" w14:textId="5CABFBDE" w:rsidR="00E42FCC" w:rsidRDefault="007C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16010421063</w:t>
            </w:r>
          </w:p>
        </w:tc>
      </w:tr>
      <w:tr w:rsidR="00E42FCC" w14:paraId="7211BA0E" w14:textId="77777777" w:rsidTr="007C4333">
        <w:tc>
          <w:tcPr>
            <w:tcW w:w="2323" w:type="dxa"/>
            <w:shd w:val="clear" w:color="auto" w:fill="auto"/>
            <w:vAlign w:val="center"/>
          </w:tcPr>
          <w:p w14:paraId="633375FB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8420C1A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8D72D32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619" w:type="dxa"/>
            <w:vAlign w:val="center"/>
          </w:tcPr>
          <w:p w14:paraId="61ED924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2D1BAC7D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B50590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DE41DE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3</w:t>
      </w:r>
    </w:p>
    <w:p w14:paraId="50A32A19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1E92D12F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6A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Thevenin’s </w:t>
      </w:r>
      <w:r w:rsidR="008D2C6B" w:rsidRPr="008D2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Theorem &amp; Norton’s Theorem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16FB239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DD727D9" w14:textId="77777777">
        <w:tc>
          <w:tcPr>
            <w:tcW w:w="9914" w:type="dxa"/>
          </w:tcPr>
          <w:p w14:paraId="3514E663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6559633C" w14:textId="77777777">
        <w:tc>
          <w:tcPr>
            <w:tcW w:w="9914" w:type="dxa"/>
          </w:tcPr>
          <w:p w14:paraId="4220AAE7" w14:textId="77777777" w:rsidR="008D2C6B" w:rsidRPr="003E4FCA" w:rsidRDefault="008D2C6B" w:rsidP="008D2C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To Verify for Thevenin</w:t>
            </w:r>
            <w:r w:rsidR="00F4108C">
              <w:rPr>
                <w:rFonts w:ascii="Times New Roman" w:hAnsi="Times New Roman"/>
                <w:bCs/>
                <w:sz w:val="24"/>
                <w:szCs w:val="24"/>
              </w:rPr>
              <w:t>’s</w:t>
            </w: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 xml:space="preserve"> Theorem for the circuit</w:t>
            </w:r>
          </w:p>
          <w:p w14:paraId="7A4933E9" w14:textId="77777777" w:rsidR="00E42FCC" w:rsidRPr="008D2C6B" w:rsidRDefault="008D2C6B" w:rsidP="008D2C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To Verify Norton Theorem for the Ci</w:t>
            </w:r>
            <w:r w:rsidR="00286A5C"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cuit</w:t>
            </w:r>
            <w:r w:rsidR="008814C7" w:rsidRPr="008D2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3140DCB9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3097E54D" w14:textId="77777777">
        <w:tc>
          <w:tcPr>
            <w:tcW w:w="9914" w:type="dxa"/>
          </w:tcPr>
          <w:p w14:paraId="20607C93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355EC025" w14:textId="77777777">
        <w:tc>
          <w:tcPr>
            <w:tcW w:w="9914" w:type="dxa"/>
          </w:tcPr>
          <w:p w14:paraId="4E4482E7" w14:textId="77777777" w:rsidR="00FC5A48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FE1852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0086B51" w14:textId="77777777" w:rsidTr="009F66BB">
        <w:tc>
          <w:tcPr>
            <w:tcW w:w="9914" w:type="dxa"/>
          </w:tcPr>
          <w:p w14:paraId="44F7C334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627766BB" w14:textId="77777777" w:rsidTr="009F66BB">
        <w:tc>
          <w:tcPr>
            <w:tcW w:w="9914" w:type="dxa"/>
          </w:tcPr>
          <w:p w14:paraId="2097BB73" w14:textId="6B832274" w:rsidR="009F66BB" w:rsidRDefault="008D2C6B" w:rsidP="007F408A">
            <w:pPr>
              <w:widowControl w:val="0"/>
              <w:spacing w:line="264" w:lineRule="auto"/>
              <w:rPr>
                <w:noProof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 xml:space="preserve"> 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</w:p>
          <w:p w14:paraId="77FEE8D1" w14:textId="3F039614" w:rsidR="00FD2B19" w:rsidRDefault="00FD2B19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Task 1: </w:t>
            </w: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Circuit Diagram to measure </w:t>
            </w:r>
            <w:proofErr w:type="spellStart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  <w:r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:</w:t>
            </w:r>
          </w:p>
          <w:p w14:paraId="58686754" w14:textId="03B52ABA" w:rsidR="0015517F" w:rsidRPr="007F408A" w:rsidRDefault="007F408A" w:rsidP="007F40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 w:rsidRPr="007F408A">
              <w:rPr>
                <w:rFonts w:ascii="Times New Roman" w:hAnsi="Times New Roman"/>
                <w:b/>
                <w:bCs/>
                <w:noProof/>
                <w:sz w:val="24"/>
                <w:szCs w:val="24"/>
                <w:vertAlign w:val="subscript"/>
              </w:rPr>
              <w:drawing>
                <wp:inline distT="0" distB="0" distL="0" distR="0" wp14:anchorId="041FFB6A" wp14:editId="1374A47B">
                  <wp:extent cx="5011736" cy="34882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780" cy="35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0F1AF" w14:textId="704D0DB2" w:rsidR="00FD2B19" w:rsidRDefault="00F4305D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t xml:space="preserve">Task </w:t>
            </w:r>
            <w:r w:rsidR="00A47DDA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: 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Circuit Diagram to measure </w:t>
            </w:r>
            <w:proofErr w:type="spellStart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Isc</w:t>
            </w:r>
            <w:proofErr w:type="spellEnd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=I</w:t>
            </w:r>
            <w:r w:rsidR="000944B1" w:rsidRPr="000944B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N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:</w:t>
            </w:r>
          </w:p>
          <w:p w14:paraId="57136138" w14:textId="4DCC21B2" w:rsidR="004F6045" w:rsidRDefault="00C30DA7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 w:rsidRPr="00C30DA7">
              <w:rPr>
                <w:rFonts w:ascii="Times New Roman" w:hAnsi="Times New Roman"/>
                <w:b/>
                <w:bCs/>
                <w:noProof/>
                <w:sz w:val="24"/>
                <w:szCs w:val="24"/>
                <w:vertAlign w:val="subscript"/>
              </w:rPr>
              <w:drawing>
                <wp:inline distT="0" distB="0" distL="0" distR="0" wp14:anchorId="2B358407" wp14:editId="3F16DCA1">
                  <wp:extent cx="3444538" cy="3596952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359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150E0" w14:textId="7FC19227" w:rsidR="007F408A" w:rsidRDefault="007F408A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</w:p>
          <w:p w14:paraId="7AB3B4F3" w14:textId="77777777" w:rsidR="000944B1" w:rsidRDefault="000944B1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</w:p>
          <w:p w14:paraId="39C353AA" w14:textId="25B856D0" w:rsidR="007F408A" w:rsidRPr="003E4FCA" w:rsidRDefault="008C0A36" w:rsidP="00FD2B19">
            <w:pPr>
              <w:widowControl w:val="0"/>
              <w:autoSpaceDE w:val="0"/>
              <w:autoSpaceDN w:val="0"/>
              <w:adjustRightInd w:val="0"/>
              <w:spacing w:line="281" w:lineRule="exact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Task </w:t>
            </w:r>
            <w:r w:rsidR="001C5829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3</w:t>
            </w: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  <w:r w:rsidR="00FD2B19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C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ircuit Diagram to measure </w:t>
            </w:r>
            <w:proofErr w:type="spellStart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Rth</w:t>
            </w:r>
            <w:proofErr w:type="spellEnd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=R</w:t>
            </w:r>
            <w:r w:rsidR="00EE3A04" w:rsidRPr="00EE3A04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N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:</w:t>
            </w:r>
          </w:p>
          <w:p w14:paraId="1077E420" w14:textId="3E9812AD" w:rsidR="008E5943" w:rsidRDefault="007F408A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7F408A">
              <w:rPr>
                <w:rFonts w:ascii="Times New Roman" w:hAnsi="Times New Roman"/>
                <w:b/>
                <w:bCs/>
                <w:noProof/>
                <w:sz w:val="24"/>
                <w:szCs w:val="24"/>
                <w:vertAlign w:val="subscript"/>
              </w:rPr>
              <w:drawing>
                <wp:inline distT="0" distB="0" distL="0" distR="0" wp14:anchorId="6B1149A4" wp14:editId="11430DC5">
                  <wp:extent cx="3025140" cy="311126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129" cy="311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CFC3D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11F6403C" w14:textId="77777777">
        <w:tc>
          <w:tcPr>
            <w:tcW w:w="9782" w:type="dxa"/>
          </w:tcPr>
          <w:p w14:paraId="1C555DA5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60F671F3" w14:textId="77777777">
        <w:tc>
          <w:tcPr>
            <w:tcW w:w="9782" w:type="dxa"/>
          </w:tcPr>
          <w:p w14:paraId="2F0B079A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</w:t>
            </w: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venin’s </w:t>
            </w:r>
            <w:proofErr w:type="spellStart"/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>Theorm</w:t>
            </w:r>
            <w:proofErr w:type="spellEnd"/>
          </w:p>
          <w:p w14:paraId="552F7590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Connect the circuit as shown in the circuit diagram. </w:t>
            </w:r>
          </w:p>
          <w:p w14:paraId="18BDEE41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Set V1, V2 and measure open circuit voltage </w:t>
            </w:r>
            <w:proofErr w:type="spellStart"/>
            <w:r w:rsidRPr="003E4FCA">
              <w:rPr>
                <w:rFonts w:ascii="Times New Roman" w:hAnsi="Times New Roman"/>
                <w:sz w:val="24"/>
                <w:szCs w:val="24"/>
              </w:rPr>
              <w:t>V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across load terminals A and B. </w:t>
            </w:r>
          </w:p>
          <w:p w14:paraId="4969FE64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25126D0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8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Replace all voltage sources by </w:t>
            </w:r>
            <w:proofErr w:type="gramStart"/>
            <w:r w:rsidRPr="003E4FCA">
              <w:rPr>
                <w:rFonts w:ascii="Times New Roman" w:hAnsi="Times New Roman"/>
                <w:sz w:val="24"/>
                <w:szCs w:val="24"/>
              </w:rPr>
              <w:t>Short</w:t>
            </w:r>
            <w:proofErr w:type="gram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circuit and measure </w:t>
            </w:r>
            <w:proofErr w:type="spellStart"/>
            <w:r w:rsidRPr="003E4FCA">
              <w:rPr>
                <w:rFonts w:ascii="Times New Roman" w:hAnsi="Times New Roman"/>
                <w:sz w:val="24"/>
                <w:szCs w:val="24"/>
              </w:rPr>
              <w:t>R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across terminals A and B as per the circuit diagram shown in the figure. </w:t>
            </w:r>
          </w:p>
          <w:p w14:paraId="7E4A9CED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Draw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venin’s equivalent circuit and determine the value of load current from it.</w:t>
            </w:r>
          </w:p>
          <w:p w14:paraId="0F73261E" w14:textId="77777777" w:rsidR="008D2C6B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Verify the results theoretically.</w:t>
            </w:r>
          </w:p>
          <w:p w14:paraId="4F89F43C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A6B897F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>Norton’s Theorem</w:t>
            </w:r>
          </w:p>
          <w:p w14:paraId="0A86B5F7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3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Connect the circuit as shown in the circuit diagram. </w:t>
            </w:r>
          </w:p>
          <w:p w14:paraId="6CFF7CB3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Set the voltages V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, V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14:paraId="205FD32B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Remove the load resistance and measure the short circuit current I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SC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 through A and B terminals. </w:t>
            </w:r>
          </w:p>
          <w:p w14:paraId="1734E114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Replace all the voltage sources by </w:t>
            </w:r>
            <w:proofErr w:type="gramStart"/>
            <w:r w:rsidRPr="003E4FCA">
              <w:rPr>
                <w:rFonts w:ascii="Times New Roman" w:hAnsi="Times New Roman"/>
                <w:sz w:val="24"/>
                <w:szCs w:val="24"/>
              </w:rPr>
              <w:t>Short</w:t>
            </w:r>
            <w:proofErr w:type="gram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circuit and measure </w:t>
            </w:r>
            <w:proofErr w:type="spellStart"/>
            <w:r w:rsidRPr="003E4FCA">
              <w:rPr>
                <w:rFonts w:ascii="Times New Roman" w:hAnsi="Times New Roman"/>
                <w:sz w:val="24"/>
                <w:szCs w:val="24"/>
              </w:rPr>
              <w:t>R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across terminals A and B as per the circuit diagram shown in the figure.</w:t>
            </w:r>
          </w:p>
          <w:p w14:paraId="62AB888A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spacing w:line="44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9A212E3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9BB78DE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Draw Norton’s equivalent circuit and determine the value of load current.</w:t>
            </w:r>
          </w:p>
          <w:p w14:paraId="78188D6C" w14:textId="77777777" w:rsidR="00E42FCC" w:rsidRDefault="008D2C6B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 Verify the results theoretically</w:t>
            </w:r>
          </w:p>
        </w:tc>
      </w:tr>
    </w:tbl>
    <w:p w14:paraId="697E7215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104D6353" w14:textId="77777777" w:rsidTr="52C48983">
        <w:tc>
          <w:tcPr>
            <w:tcW w:w="9782" w:type="dxa"/>
          </w:tcPr>
          <w:p w14:paraId="32EB84AB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</w:tc>
      </w:tr>
      <w:tr w:rsidR="00E42FCC" w14:paraId="4D69D1B1" w14:textId="77777777" w:rsidTr="52C48983">
        <w:tc>
          <w:tcPr>
            <w:tcW w:w="9782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12"/>
              <w:gridCol w:w="2212"/>
            </w:tblGrid>
            <w:tr w:rsidR="0087658B" w14:paraId="1E30B4F9" w14:textId="77777777" w:rsidTr="00B54446">
              <w:trPr>
                <w:trHeight w:val="461"/>
              </w:trPr>
              <w:tc>
                <w:tcPr>
                  <w:tcW w:w="2212" w:type="dxa"/>
                </w:tcPr>
                <w:p w14:paraId="6C95C2FC" w14:textId="77777777" w:rsidR="0087658B" w:rsidRDefault="0087658B" w:rsidP="00B54446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14:paraId="48663BCD" w14:textId="77777777" w:rsidR="0087658B" w:rsidRPr="003E4FCA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151103DD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EE3A04" w:rsidRPr="00EE3A04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RL</w:t>
                  </w:r>
                </w:p>
                <w:p w14:paraId="48CDE756" w14:textId="77777777" w:rsidR="0087658B" w:rsidRPr="003E4FCA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87658B" w14:paraId="43D1F05B" w14:textId="77777777" w:rsidTr="00B54446">
              <w:trPr>
                <w:trHeight w:val="207"/>
              </w:trPr>
              <w:tc>
                <w:tcPr>
                  <w:tcW w:w="2212" w:type="dxa"/>
                </w:tcPr>
                <w:p w14:paraId="4D9B690E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5E1A2B8E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value </w:t>
                  </w:r>
                </w:p>
                <w:p w14:paraId="2D05CEE3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14:paraId="52DEAE4F" w14:textId="47EFB0BC" w:rsidR="0087658B" w:rsidRDefault="004F6045" w:rsidP="0087658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</w:t>
                  </w:r>
                  <w:r w:rsidR="00DF1E75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A</w:t>
                  </w:r>
                </w:p>
              </w:tc>
            </w:tr>
            <w:tr w:rsidR="0087658B" w14:paraId="141BF782" w14:textId="77777777" w:rsidTr="00B54446">
              <w:trPr>
                <w:trHeight w:val="207"/>
              </w:trPr>
              <w:tc>
                <w:tcPr>
                  <w:tcW w:w="2212" w:type="dxa"/>
                </w:tcPr>
                <w:p w14:paraId="67FE9CDC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2DD4A0E7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Theoretical value</w:t>
                  </w:r>
                </w:p>
                <w:p w14:paraId="512D96DB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14:paraId="5D0140B3" w14:textId="29275BEB" w:rsidR="0087658B" w:rsidRDefault="005F6C17" w:rsidP="0087658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0.23</w:t>
                  </w:r>
                  <w:r w:rsidR="00986EC2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0FF2FFF6" w14:textId="77777777" w:rsidR="00FD2B19" w:rsidRDefault="00FD2B19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12"/>
              <w:gridCol w:w="1078"/>
              <w:gridCol w:w="1276"/>
              <w:gridCol w:w="1159"/>
              <w:gridCol w:w="1134"/>
              <w:gridCol w:w="1418"/>
            </w:tblGrid>
            <w:tr w:rsidR="0087658B" w14:paraId="496DA9F4" w14:textId="77777777" w:rsidTr="00986EC2">
              <w:trPr>
                <w:trHeight w:val="461"/>
              </w:trPr>
              <w:tc>
                <w:tcPr>
                  <w:tcW w:w="2212" w:type="dxa"/>
                </w:tcPr>
                <w:p w14:paraId="785229A6" w14:textId="77777777" w:rsidR="0087658B" w:rsidRDefault="0087658B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14:paraId="0314C8BC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4F65787D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Vth</w:t>
                  </w:r>
                </w:p>
                <w:p w14:paraId="02CC22FE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6C670AA4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8102167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Rth</w:t>
                  </w:r>
                  <w:proofErr w:type="spellEnd"/>
                  <w:r w:rsidR="008E594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</w:t>
                  </w:r>
                  <w:r w:rsidR="008E5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Ω</w:t>
                  </w:r>
                  <w:r w:rsidR="008E594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59" w:type="dxa"/>
                </w:tcPr>
                <w:p w14:paraId="2DDE4582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31D64F1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Isc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(I</w:t>
                  </w:r>
                  <w:r w:rsidRPr="0087658B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N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59B64DC9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41D308DD" w14:textId="77777777" w:rsidR="0087658B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rl</w:t>
                  </w:r>
                  <w:proofErr w:type="spellEnd"/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 xml:space="preserve"> </w:t>
                  </w:r>
                </w:p>
                <w:p w14:paraId="5807CEE4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Thevenin</w:t>
                  </w:r>
                </w:p>
                <w:p w14:paraId="3E98DB0B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18" w:type="dxa"/>
                </w:tcPr>
                <w:p w14:paraId="09180326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rl</w:t>
                  </w:r>
                  <w:proofErr w:type="spellEnd"/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ΩNorton</w:t>
                  </w:r>
                  <w:proofErr w:type="spellEnd"/>
                </w:p>
                <w:p w14:paraId="793D8D96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87658B" w14:paraId="2E48B288" w14:textId="77777777" w:rsidTr="00986EC2">
              <w:trPr>
                <w:trHeight w:val="207"/>
              </w:trPr>
              <w:tc>
                <w:tcPr>
                  <w:tcW w:w="2212" w:type="dxa"/>
                </w:tcPr>
                <w:p w14:paraId="0F1DD63A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06B027B8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value </w:t>
                  </w:r>
                </w:p>
                <w:p w14:paraId="2EF07D9C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14:paraId="5B0F9340" w14:textId="4B99F949" w:rsidR="0087658B" w:rsidRDefault="2C62907A" w:rsidP="52C4898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</w:pPr>
                  <w:r w:rsidRPr="52C48983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30.8</w:t>
                  </w:r>
                </w:p>
              </w:tc>
              <w:tc>
                <w:tcPr>
                  <w:tcW w:w="1276" w:type="dxa"/>
                </w:tcPr>
                <w:p w14:paraId="7F90E652" w14:textId="544DEA1D" w:rsidR="0087658B" w:rsidRDefault="6EE99E23" w:rsidP="52C48983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</w:pPr>
                  <w:r w:rsidRPr="52C48983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31.858</w:t>
                  </w:r>
                </w:p>
              </w:tc>
              <w:tc>
                <w:tcPr>
                  <w:tcW w:w="1159" w:type="dxa"/>
                </w:tcPr>
                <w:p w14:paraId="74E0E374" w14:textId="2C88609F" w:rsidR="0087658B" w:rsidRDefault="39B57C8A" w:rsidP="52C48983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</w:pPr>
                  <w:r w:rsidRPr="52C48983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0.</w:t>
                  </w:r>
                  <w:r w:rsidR="000139E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9</w:t>
                  </w:r>
                  <w:r w:rsidR="00C30DA7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67</w:t>
                  </w:r>
                  <w:r w:rsidR="00C63B06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34" w:type="dxa"/>
                </w:tcPr>
                <w:p w14:paraId="7282C928" w14:textId="695D9AE4" w:rsidR="0087658B" w:rsidRDefault="000139E8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0.23</w:t>
                  </w:r>
                  <w:r w:rsidR="00C63B06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418" w:type="dxa"/>
                </w:tcPr>
                <w:p w14:paraId="1E6BF2A7" w14:textId="3DBA23F3" w:rsidR="0087658B" w:rsidRDefault="00C63B06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0.23</w:t>
                  </w:r>
                  <w:r w:rsidR="00954E7D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A</w:t>
                  </w:r>
                </w:p>
              </w:tc>
            </w:tr>
            <w:tr w:rsidR="0087658B" w14:paraId="3ADDA564" w14:textId="77777777" w:rsidTr="00986EC2">
              <w:trPr>
                <w:trHeight w:val="207"/>
              </w:trPr>
              <w:tc>
                <w:tcPr>
                  <w:tcW w:w="2212" w:type="dxa"/>
                </w:tcPr>
                <w:p w14:paraId="35F5D849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337729EF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Theoretical value</w:t>
                  </w:r>
                </w:p>
                <w:p w14:paraId="7D907F40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14:paraId="2B6EBAC1" w14:textId="22C2FA84" w:rsidR="0087658B" w:rsidRDefault="005F6C17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30.8</w:t>
                  </w:r>
                  <w:r w:rsidR="00B45A6C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05</w:t>
                  </w:r>
                </w:p>
              </w:tc>
              <w:tc>
                <w:tcPr>
                  <w:tcW w:w="1276" w:type="dxa"/>
                </w:tcPr>
                <w:p w14:paraId="51FF455F" w14:textId="146986BD" w:rsidR="0087658B" w:rsidRDefault="0092386C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31.857</w:t>
                  </w:r>
                </w:p>
              </w:tc>
              <w:tc>
                <w:tcPr>
                  <w:tcW w:w="1159" w:type="dxa"/>
                </w:tcPr>
                <w:p w14:paraId="49151D63" w14:textId="57EF6893" w:rsidR="0087658B" w:rsidRDefault="005F6C17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0.9</w:t>
                  </w:r>
                  <w:r w:rsidR="00C30DA7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6</w:t>
                  </w:r>
                  <w:r w:rsidR="00D028C4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69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34" w:type="dxa"/>
                </w:tcPr>
                <w:p w14:paraId="4A152A91" w14:textId="5D7E66BD" w:rsidR="0087658B" w:rsidRDefault="005F6C17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0.23</w:t>
                  </w:r>
                  <w:r w:rsidR="00986EC2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36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418" w:type="dxa"/>
                </w:tcPr>
                <w:p w14:paraId="290EE115" w14:textId="29A46016" w:rsidR="0087658B" w:rsidRDefault="005F6C17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0.23</w:t>
                  </w:r>
                  <w:r w:rsidR="00986EC2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43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41EC119" w14:textId="77777777" w:rsidR="00FD2B19" w:rsidRDefault="00FD2B19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AE2B8C6" w14:textId="77777777" w:rsidR="0063447A" w:rsidRDefault="0063447A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78"/>
              <w:gridCol w:w="4778"/>
            </w:tblGrid>
            <w:tr w:rsidR="0018304F" w14:paraId="75C6C631" w14:textId="77777777" w:rsidTr="007700D5">
              <w:trPr>
                <w:trHeight w:val="3678"/>
              </w:trPr>
              <w:tc>
                <w:tcPr>
                  <w:tcW w:w="4778" w:type="dxa"/>
                </w:tcPr>
                <w:p w14:paraId="36D72B7E" w14:textId="77777777" w:rsidR="0018304F" w:rsidRDefault="0018304F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The</w:t>
                  </w:r>
                  <w:r w:rsidRPr="003E4FCA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venin’s equivalent circuit</w:t>
                  </w:r>
                </w:p>
                <w:p w14:paraId="1EE32E8D" w14:textId="77777777" w:rsidR="00582028" w:rsidRDefault="00582028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</w:pPr>
                </w:p>
                <w:p w14:paraId="40735EAD" w14:textId="3482F44E" w:rsidR="0018304F" w:rsidRDefault="00582028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drawing>
                      <wp:inline distT="0" distB="0" distL="0" distR="0" wp14:anchorId="1549AE9B" wp14:editId="1B7672DF">
                        <wp:extent cx="2853267" cy="1403760"/>
                        <wp:effectExtent l="0" t="0" r="4445" b="635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/>
                              </pic:nvPicPr>
                              <pic:blipFill rotWithShape="1"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0256" t="29771" r="22229" b="3733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30392" cy="144170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78" w:type="dxa"/>
                  <w:vAlign w:val="bottom"/>
                </w:tcPr>
                <w:p w14:paraId="2503E5F2" w14:textId="77777777" w:rsidR="0063447A" w:rsidRDefault="0063447A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Norton’s Equivalent Circuit</w:t>
                  </w:r>
                </w:p>
                <w:p w14:paraId="21993940" w14:textId="77777777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0DBE5576" w14:textId="02D9CFE4" w:rsidR="007700D5" w:rsidRDefault="00954E7D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954E7D">
                    <w:rPr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</w:rPr>
                    <w:drawing>
                      <wp:inline distT="0" distB="0" distL="0" distR="0" wp14:anchorId="790919B1" wp14:editId="6D2BA086">
                        <wp:extent cx="2896870" cy="118872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6870" cy="1188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E14391" w14:textId="77777777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31E9F841" w14:textId="77777777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77E5A2A3" w14:textId="77777777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0E3737BA" w14:textId="77777777" w:rsidR="007700D5" w:rsidRPr="0063447A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7761960F" w14:textId="77777777" w:rsidR="0018304F" w:rsidRPr="003E4FCA" w:rsidRDefault="0018304F" w:rsidP="0018304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21725E4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373034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99A687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5CCC4D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0C1408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B483FE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B25C36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40A8D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B3D3AE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60D0FD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81FC8F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DDF1C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D988E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A0E912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7A1ECF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DBBEF5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7BF5B4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880402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14B050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0E2CCB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DB1BF9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2A837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603D13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75F46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6693A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9503D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1E5A8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8BE6ED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F53AE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DAC779" w14:textId="23DD4F13" w:rsidR="008C0A36" w:rsidRDefault="00941EC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Theoretical Calculation: </w:t>
            </w:r>
          </w:p>
          <w:p w14:paraId="25151B50" w14:textId="366054ED" w:rsidR="00E42FCC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983558B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25FB9C3" wp14:editId="5BDB5184">
                  <wp:extent cx="5920105" cy="7650480"/>
                  <wp:effectExtent l="0" t="0" r="444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05" cy="765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6777D" w14:textId="77777777" w:rsidR="002E613E" w:rsidRDefault="002E613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9956F21" w14:textId="77777777" w:rsidR="00B45A6C" w:rsidRDefault="00B45A6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5D2993" wp14:editId="01590A56">
                  <wp:extent cx="6074410" cy="5364480"/>
                  <wp:effectExtent l="0" t="0" r="254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536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A5A63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1BF07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B4782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EB667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D8B1C7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3B713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3063A0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555EC5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E2ED1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F71419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EA67B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3D10B" w14:textId="77777777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BE32C9" w14:textId="315760FF" w:rsidR="00B45A6C" w:rsidRDefault="00B45A6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11AD82C" w14:textId="77777777" w:rsidR="00B45A6C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5C0750" wp14:editId="4C2D304F">
                  <wp:extent cx="4724400" cy="3767764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158" cy="379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912E5" w14:textId="77777777" w:rsidR="00986EC2" w:rsidRDefault="00986EC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BEDE93" w14:textId="0D9AC44A" w:rsidR="00D028C4" w:rsidRDefault="00D028C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RL</w:t>
            </w:r>
            <w:r w:rsidR="00986EC2">
              <w:rPr>
                <w:rFonts w:ascii="Times New Roman" w:eastAsia="Times New Roman" w:hAnsi="Times New Roman" w:cs="Times New Roman"/>
                <w:sz w:val="24"/>
                <w:szCs w:val="24"/>
              </w:rPr>
              <w:t>(Norton)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2A248C8" w14:textId="7CA320D6" w:rsidR="00954E7D" w:rsidRDefault="00986EC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31A568" wp14:editId="6ACBDC92">
                  <wp:extent cx="5086350" cy="3610319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524" cy="3647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07634" w14:textId="77777777" w:rsidR="00954E7D" w:rsidRDefault="00954E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(Thevenin):</w:t>
            </w:r>
          </w:p>
          <w:p w14:paraId="01AC634A" w14:textId="737934E4" w:rsidR="00954E7D" w:rsidRPr="00954E7D" w:rsidRDefault="00954E7D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EF146E" wp14:editId="4F3465BE">
                  <wp:extent cx="5097780" cy="3539029"/>
                  <wp:effectExtent l="0" t="0" r="762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75" cy="3559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E5BE7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990A70B" w14:textId="77777777">
        <w:tc>
          <w:tcPr>
            <w:tcW w:w="9914" w:type="dxa"/>
          </w:tcPr>
          <w:p w14:paraId="29388D47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26180497" w14:textId="77777777">
        <w:tc>
          <w:tcPr>
            <w:tcW w:w="9914" w:type="dxa"/>
          </w:tcPr>
          <w:p w14:paraId="72F182F5" w14:textId="11C88949" w:rsidR="004E6BDD" w:rsidRDefault="00A32F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experiment we understand the use of Thevenin and Norton’s theorem to get the value of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RL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circuit.</w:t>
            </w:r>
          </w:p>
          <w:p w14:paraId="3639F255" w14:textId="77777777" w:rsidR="00445093" w:rsidRDefault="004450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126E22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74E076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25276C35" w14:textId="77777777">
        <w:tc>
          <w:tcPr>
            <w:tcW w:w="4758" w:type="dxa"/>
          </w:tcPr>
          <w:p w14:paraId="58D3CCE8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068C968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F03858D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746EFC00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21"/>
      <w:footerReference w:type="default" r:id="rId22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20384" w14:textId="77777777" w:rsidR="00433B77" w:rsidRDefault="00433B77">
      <w:pPr>
        <w:spacing w:after="0" w:line="240" w:lineRule="auto"/>
      </w:pPr>
      <w:r>
        <w:separator/>
      </w:r>
    </w:p>
  </w:endnote>
  <w:endnote w:type="continuationSeparator" w:id="0">
    <w:p w14:paraId="6528D105" w14:textId="77777777" w:rsidR="00433B77" w:rsidRDefault="0043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9D8D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08BF70B1" w14:textId="77777777">
      <w:tc>
        <w:tcPr>
          <w:tcW w:w="3544" w:type="dxa"/>
        </w:tcPr>
        <w:p w14:paraId="20680EC7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530BB924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825585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03CA738C" w14:textId="77777777" w:rsidR="00E42FCC" w:rsidRDefault="008E4EB6" w:rsidP="00825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825585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2021-22</w:t>
          </w:r>
        </w:p>
      </w:tc>
    </w:tr>
    <w:tr w:rsidR="00E42FCC" w14:paraId="17A48B09" w14:textId="77777777">
      <w:tc>
        <w:tcPr>
          <w:tcW w:w="3544" w:type="dxa"/>
        </w:tcPr>
        <w:p w14:paraId="3352FDEF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11E4862E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06FC49B6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1E76896D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4482D411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A83C" w14:textId="77777777" w:rsidR="00433B77" w:rsidRDefault="00433B77">
      <w:pPr>
        <w:spacing w:after="0" w:line="240" w:lineRule="auto"/>
      </w:pPr>
      <w:r>
        <w:separator/>
      </w:r>
    </w:p>
  </w:footnote>
  <w:footnote w:type="continuationSeparator" w:id="0">
    <w:p w14:paraId="1213B3CF" w14:textId="77777777" w:rsidR="00433B77" w:rsidRDefault="0043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EE9F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1AA2E566" w14:textId="77777777">
      <w:trPr>
        <w:trHeight w:val="907"/>
      </w:trPr>
      <w:tc>
        <w:tcPr>
          <w:tcW w:w="3572" w:type="dxa"/>
        </w:tcPr>
        <w:p w14:paraId="43C02626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eastAsia="en-US"/>
            </w:rPr>
            <w:drawing>
              <wp:inline distT="0" distB="0" distL="0" distR="0" wp14:anchorId="233C2A32" wp14:editId="562B7EBA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3D845838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19394313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44CEE481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5020EFF8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5DA9991C" wp14:editId="4E63A475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6472788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4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13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6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C"/>
    <w:rsid w:val="000139E8"/>
    <w:rsid w:val="0001684E"/>
    <w:rsid w:val="0005173E"/>
    <w:rsid w:val="00090E7F"/>
    <w:rsid w:val="000944B1"/>
    <w:rsid w:val="000B319A"/>
    <w:rsid w:val="000F7ECF"/>
    <w:rsid w:val="001170B5"/>
    <w:rsid w:val="0012467E"/>
    <w:rsid w:val="0015517F"/>
    <w:rsid w:val="00156F1D"/>
    <w:rsid w:val="00175E67"/>
    <w:rsid w:val="0018304F"/>
    <w:rsid w:val="001C5829"/>
    <w:rsid w:val="001E37E4"/>
    <w:rsid w:val="00210B86"/>
    <w:rsid w:val="002411C8"/>
    <w:rsid w:val="0025437B"/>
    <w:rsid w:val="00286A5C"/>
    <w:rsid w:val="002E613E"/>
    <w:rsid w:val="00324B3B"/>
    <w:rsid w:val="00340FB8"/>
    <w:rsid w:val="00345002"/>
    <w:rsid w:val="0036370B"/>
    <w:rsid w:val="00377156"/>
    <w:rsid w:val="003B3AB5"/>
    <w:rsid w:val="003C4264"/>
    <w:rsid w:val="003C5119"/>
    <w:rsid w:val="00433B77"/>
    <w:rsid w:val="00442C41"/>
    <w:rsid w:val="00445093"/>
    <w:rsid w:val="00445644"/>
    <w:rsid w:val="00461EBB"/>
    <w:rsid w:val="00462816"/>
    <w:rsid w:val="00472B1A"/>
    <w:rsid w:val="00473034"/>
    <w:rsid w:val="0048773C"/>
    <w:rsid w:val="004B190E"/>
    <w:rsid w:val="004D186F"/>
    <w:rsid w:val="004E1804"/>
    <w:rsid w:val="004E6BDD"/>
    <w:rsid w:val="004F188F"/>
    <w:rsid w:val="004F6045"/>
    <w:rsid w:val="00551DB0"/>
    <w:rsid w:val="00582028"/>
    <w:rsid w:val="0059543C"/>
    <w:rsid w:val="005979E5"/>
    <w:rsid w:val="005C6C92"/>
    <w:rsid w:val="005E65A2"/>
    <w:rsid w:val="005F6C17"/>
    <w:rsid w:val="00600D81"/>
    <w:rsid w:val="006026A6"/>
    <w:rsid w:val="00612840"/>
    <w:rsid w:val="00613BF2"/>
    <w:rsid w:val="0063447A"/>
    <w:rsid w:val="00683EF7"/>
    <w:rsid w:val="00684C9D"/>
    <w:rsid w:val="00693C8A"/>
    <w:rsid w:val="006A1E4C"/>
    <w:rsid w:val="006B3373"/>
    <w:rsid w:val="007258C5"/>
    <w:rsid w:val="0073185E"/>
    <w:rsid w:val="007700D5"/>
    <w:rsid w:val="007C32DB"/>
    <w:rsid w:val="007C3732"/>
    <w:rsid w:val="007C4333"/>
    <w:rsid w:val="007D65D7"/>
    <w:rsid w:val="007E592D"/>
    <w:rsid w:val="007F3C83"/>
    <w:rsid w:val="007F408A"/>
    <w:rsid w:val="00824AFE"/>
    <w:rsid w:val="00825585"/>
    <w:rsid w:val="0087658B"/>
    <w:rsid w:val="008814C7"/>
    <w:rsid w:val="008A5422"/>
    <w:rsid w:val="008B1BA2"/>
    <w:rsid w:val="008C0A36"/>
    <w:rsid w:val="008D27BF"/>
    <w:rsid w:val="008D2C6B"/>
    <w:rsid w:val="008E4EB6"/>
    <w:rsid w:val="008E56BB"/>
    <w:rsid w:val="008E5943"/>
    <w:rsid w:val="008F101F"/>
    <w:rsid w:val="00914188"/>
    <w:rsid w:val="0092386C"/>
    <w:rsid w:val="00930640"/>
    <w:rsid w:val="00941ECF"/>
    <w:rsid w:val="00952B82"/>
    <w:rsid w:val="00954E7D"/>
    <w:rsid w:val="00986EC2"/>
    <w:rsid w:val="00994C91"/>
    <w:rsid w:val="009E4473"/>
    <w:rsid w:val="009F3DC7"/>
    <w:rsid w:val="009F4984"/>
    <w:rsid w:val="009F66BB"/>
    <w:rsid w:val="00A32F90"/>
    <w:rsid w:val="00A45953"/>
    <w:rsid w:val="00A47DDA"/>
    <w:rsid w:val="00A61617"/>
    <w:rsid w:val="00AB4B80"/>
    <w:rsid w:val="00AC6536"/>
    <w:rsid w:val="00B26C50"/>
    <w:rsid w:val="00B45A6C"/>
    <w:rsid w:val="00B77586"/>
    <w:rsid w:val="00B90C94"/>
    <w:rsid w:val="00C30DA7"/>
    <w:rsid w:val="00C50D77"/>
    <w:rsid w:val="00C5341C"/>
    <w:rsid w:val="00C5763C"/>
    <w:rsid w:val="00C63B06"/>
    <w:rsid w:val="00C713D7"/>
    <w:rsid w:val="00C832F3"/>
    <w:rsid w:val="00C921BD"/>
    <w:rsid w:val="00C97394"/>
    <w:rsid w:val="00CA7696"/>
    <w:rsid w:val="00CA7D55"/>
    <w:rsid w:val="00CB3BBA"/>
    <w:rsid w:val="00CE6A87"/>
    <w:rsid w:val="00D01847"/>
    <w:rsid w:val="00D028C4"/>
    <w:rsid w:val="00D206BF"/>
    <w:rsid w:val="00D35123"/>
    <w:rsid w:val="00DA6D9F"/>
    <w:rsid w:val="00DE41DE"/>
    <w:rsid w:val="00DE5CFB"/>
    <w:rsid w:val="00DF1E75"/>
    <w:rsid w:val="00E42FCC"/>
    <w:rsid w:val="00E66539"/>
    <w:rsid w:val="00E80FE7"/>
    <w:rsid w:val="00E8415B"/>
    <w:rsid w:val="00EB0D37"/>
    <w:rsid w:val="00EE3A04"/>
    <w:rsid w:val="00F26A4B"/>
    <w:rsid w:val="00F4108C"/>
    <w:rsid w:val="00F4305D"/>
    <w:rsid w:val="00F76E19"/>
    <w:rsid w:val="00FC559F"/>
    <w:rsid w:val="00FC5A48"/>
    <w:rsid w:val="00FC6215"/>
    <w:rsid w:val="00FD0E3C"/>
    <w:rsid w:val="00FD2B19"/>
    <w:rsid w:val="02D40DAB"/>
    <w:rsid w:val="2C62907A"/>
    <w:rsid w:val="2F7112B6"/>
    <w:rsid w:val="351A967B"/>
    <w:rsid w:val="3981FBE7"/>
    <w:rsid w:val="39B57C8A"/>
    <w:rsid w:val="52C48983"/>
    <w:rsid w:val="6426B5B3"/>
    <w:rsid w:val="6EE99E23"/>
    <w:rsid w:val="7809C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3632"/>
  <w15:docId w15:val="{5115097E-DD68-4085-9125-DCA3A3BA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11" ma:contentTypeDescription="Create a new document." ma:contentTypeScope="" ma:versionID="9e4591236b8a2f94f45ecc4e75a5c228">
  <xsd:schema xmlns:xsd="http://www.w3.org/2001/XMLSchema" xmlns:xs="http://www.w3.org/2001/XMLSchema" xmlns:p="http://schemas.microsoft.com/office/2006/metadata/properties" xmlns:ns2="ac092533-9782-45c4-b568-d57eb1ffa5d6" xmlns:ns3="40783868-3de4-4b34-bcbd-0e82dfc7c48a" targetNamespace="http://schemas.microsoft.com/office/2006/metadata/properties" ma:root="true" ma:fieldsID="86661fb60c1b981af457b389feb10484" ns2:_="" ns3:_="">
    <xsd:import namespace="ac092533-9782-45c4-b568-d57eb1ffa5d6"/>
    <xsd:import namespace="40783868-3de4-4b34-bcbd-0e82dfc7c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83868-3de4-4b34-bcbd-0e82dfc7c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B7119B03-9AD1-4E6D-B226-ACF30BF67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BAFB75-EE94-45D5-8687-79C3CB096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990A8-82F0-4D5B-8E79-AB28E5A41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092533-9782-45c4-b568-d57eb1ffa5d6"/>
    <ds:schemaRef ds:uri="40783868-3de4-4b34-bcbd-0e82dfc7c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8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16010421063_FY_ARYA NAIR</cp:lastModifiedBy>
  <cp:revision>13</cp:revision>
  <dcterms:created xsi:type="dcterms:W3CDTF">2021-11-11T10:53:00Z</dcterms:created>
  <dcterms:modified xsi:type="dcterms:W3CDTF">2021-11-16T04:55:00Z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